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D-5822/2012 vom 19. Dezember 2013</w:t>
      </w:r>
    </w:p>
    <w:p>
      <w:r>
        <w:t>Bundesverwaltungsgericht, 2013-12-19, DE</w:t>
      </w:r>
    </w:p>
    <w:p>
      <w:r>
        <w:rPr>
          <w:b/>
        </w:rPr>
        <w:t xml:space="preserve">Quelle: </w:t>
      </w:r>
      <w:r>
        <w:t>https://mcp.opencaselaw.ch/entscheid/bvger_D-5822_2012</w:t>
      </w:r>
    </w:p>
    <w:p>
      <w:r>
        <w:t>FR: TAF D-5822/2012 du 19 décembre 2013</w:t>
      </w:r>
    </w:p>
    <w:p>
      <w:r>
        <w:t>IT: TAF D-5822/2012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 November 2012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4.2</w:t>
      </w:r>
    </w:p>
    <w:p>
      <w:r>
        <w:t>Bei diesem Ausgang des Verfahrens sind keine Kosten zu erheben (Art. 63 Abs. 1 und 2 VwVG).</w:t>
      </w:r>
    </w:p>
    <w:p>
      <w:r>
        <w:rPr>
          <w:b/>
        </w:rPr>
        <w:t>E. 4.3</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4.4</w:t>
      </w:r>
    </w:p>
    <w:p>
      <w:r>
        <w:t>Der Rechtsvertreter hat mit Eingabe vom 28. November 2012 eine Kostennote für die bis dahin entstandenen Aufwendungen eingereicht (act. 3, Beilage 62) und diese mit der Eingabe vom 17. Dezember 2012 für die bis dahin entstandenen Aufwendungen aktualisiert (act. 5, S. 2). Der Aufwand für die Eingaben vom 30. Januar 2013, 4. Februar 2013 und 17. März 2013 ist nicht explizit ausgewiesen. Das Bundesverwaltungsgericht erachtet den in der Kostennote vom 28. November 2012 geltend gemachten zeitlichen Vertretungsaufwand als nicht vollumfänglich angemessen, weshalb er zu reduzieren ist. Namentlich ist zu berücksichtigen, dass etliche Beweismittel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 teilweise redundante Ausführungen auf. Unter Berücksichtigung der massgebenden Bemessungsfaktoren (Art. 9-13 VGKE) hat das BFM dem Beschwerdeführer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