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D-581/2018 vom 20. September 2018</w:t>
      </w:r>
    </w:p>
    <w:p>
      <w:r>
        <w:t>Bundesverwaltungsgericht, 2018-09-20, DE</w:t>
      </w:r>
    </w:p>
    <w:p>
      <w:r>
        <w:rPr>
          <w:b/>
        </w:rPr>
        <w:t xml:space="preserve">Quelle: </w:t>
      </w:r>
      <w:r>
        <w:t>https://mcp.opencaselaw.ch/entscheid/bvger_D-581_2018</w:t>
      </w:r>
    </w:p>
    <w:p>
      <w:r>
        <w:t>FR: TAF D-581/2018 du 20 septembre 2018</w:t>
      </w:r>
    </w:p>
    <w:p>
      <w:r>
        <w:t>IT: TAF D-581/2018 del 20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Zunächst ist auf die Rügen der Verletzung des rechtlichen Gehörs einzugehen. Bemängelt wird der Umstand, wonach das SEM es unterlassen habe, im Zusammenhang mit der geltend gemachten illegalen Ausreise zusätzliche Gefährdungsfaktoren beim Beschwerdeführer zu prüfen. Dies trifft jedoch nicht zu. Die Vorinstanz hat in ausführlichen Erwägungen die geltend gemachten behördlichen Vorsprachen für unglaubhaft erachtet und solche zusätzlichen Faktoren mithin verneint. Weitere Anknüpfungspunkte für eine Akzentuierung der Gefährdung ergaben sich aus den Akten nicht. Soweit im Übrigen geltend gemacht wird, der Beschwerdeführer sei sehr jung und habe namentlich bei der Anhörung die Fragen nicht richtig verstanden, ist darauf hinzuweisen, dass diese in seiner Muttersprache durchgeführt wurde. Er legte bereits zu Beginn dar, den Dolmetscher gut zu verstehen, und bestätigte am Schluss, das Protokoll sei vollständig und entspreche seinen Aussagen. Demzufolge muss er sich bei seinen Aussagen trotz seines jungen Alters behaften lassen. Dies umso mehr, als gemäss Beiblatt auch die Hilfswerkvertretung darauf verzichtete, Einwände zu formulieren beziehungsweise allfällige Mängel der Anhörung festzuhalten. Eine Gehörsverletzung ist schliesslich auch insofern zu verneinen, als die Begründungsdichte im Entscheid zu überzeugen vermag und es dem Beschwerdeführer offensichtlich möglich war, diesen sachgerecht anzufechten. Eine Rückweisung der Sache an die Vorinstanz kommt mithin nicht in Betracht.</w:t>
      </w:r>
    </w:p>
    <w:p>
      <w:r>
        <w:rPr>
          <w:b/>
        </w:rPr>
        <w:t>E. 5.1</w:t>
      </w:r>
    </w:p>
    <w:p>
      <w:r>
        <w:t>Das SEM hat die Glaubhaftigkeit der Kernvorbringen des Beschwerdeführers verneint. Diese Sichtweise ist zu teilen. Die vom SEM aufgeführten Unstimmigkeiten bei der Anzahl der behördlichen Vorsprachen und bei deren Abläufen sind - soweit dabei auf die BzP Bezug genommen wird - zwar zu relativieren. So wurde die BzP, bei welcher im Allgemeinen ohnehin nur summarisch auf die Fluchtgründe eingegangen wird, wegen Kapazitätsengpässen zusätzlich gekürzt (vgl. A 13/1). Ins Gewicht bei der Beurteilung der Glaubhaftigkeit fallen aber vor allem die Aussagen anlässlich der Anhörung, welche im Sinne der vorinstanzlichen Erwägungen und entgegen den nicht überzeugenden Beschwerdevorbringen stereotyp und unsubstanziiert ausgefallen sind. Auch auf Nachfragen reagierte der Beschwerdeführer immer wieder mit vagen Antworten, welche entgegen der in der Beschwerde vertretenen Ansicht nicht auf dessen junges Alter zurückzuführen sein dürften (vgl. A 26/18 Antworten 78 ff. und 105 ff.). Insgesamt vermochte er so nicht das Bild einer tatsächlich erlebten respektive befürchteten Verfolgungssituation zu vermitteln. Namentlich auch die Flucht bei der letzten Vorsprache wirkt ausgesprochen konstruiert (a.a.O. Antwort 113). Dass er nach dieser Flucht am Folgetag nochmals zur Schule gegangen sei, spricht ebenfalls nicht für eine reale Bedrohungssituation, sondern für ein blosses Verfolgungskonstrukt (a.a.O. Antworten 130 ff.). Die gegenteiligen Beschwerdevorbringen sind mit den Akten nicht zu vereinbaren. Insbesondere vermag vor diesem Hintergrund auch die erstmals in der Beschwerde geltend gemachte Furcht vor Razzien nicht zu überzeugen. Schliesslich weisen seine Ausführungen im Zusammenhang mit der illegalen Ausreise ebenfalls wenig Substanz auf. Angesicht der aktuellen Rechtsprechung kann die Frage der diesbezüglichen Glaubhaftigkeit indes offen gelassen werden (vgl. untenstehend E. 6).</w:t>
      </w:r>
    </w:p>
    <w:p>
      <w:r>
        <w:rPr>
          <w:b/>
        </w:rPr>
        <w:t>E. 5.2</w:t>
      </w:r>
    </w:p>
    <w:p>
      <w:r>
        <w:t>Mit Blick auf die von der vormaligen Beschwerdeinstanz begründete Rechtsprechung, welche vom Bundesverwaltungsgericht fortgeführt wurde (vgl. dazu u.a. Urteil des Bundesverwaltungsgerichts E-5761/2013 vom 12. Juni 2014 E. 6.1), ist sodann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allein eine Haftstrafe, sondern eine Inhaftierung unter unmenschlichen Bedingungen und Folter, wobei Deserteure regelmässig der Willkür ihrer Vorgesetzten ausgesetzt sind. Die Desertion wird von den eritreischen Behörden als Ausdruck der Regimefeindlichkeit aufgefasst. Vorliegend war der Beschwerdeführer aber nicht in der Lage, einen solchen konkreten Kontakt beziehungsweise die erfolgten Razzien glaubhaft zu machen.</w:t>
      </w:r>
    </w:p>
    <w:p>
      <w:r>
        <w:rPr>
          <w:b/>
        </w:rPr>
        <w:t>E. 5.3</w:t>
      </w:r>
    </w:p>
    <w:p>
      <w:r>
        <w:t>Nach dem Gesagten ist es dem Beschwerdeführer nicht gelungen, eine erlittene beziehungsweise allfällig drohende Verfolgung gemäss Art. 3 AsylG im Zeitpunkt der Ausreise glaubhaft zu machen.</w:t>
      </w:r>
    </w:p>
    <w:p>
      <w:r>
        <w:rPr>
          <w:b/>
        </w:rPr>
        <w:t>E. 6.1</w:t>
      </w:r>
    </w:p>
    <w:p>
      <w:r>
        <w:t>Es bleibt somit zu prüfen, ob der Beschwerdeführer aus Eritrea bei einer Rückkehr dorthin aufgrund der illegalen Ausreise - mithin wegen subjektiver Nachfluchtgründe - befürchten müsste, ernsthaften Nachteilen im Sinne von Art. 3 AsylG ausgesetzt zu werden.</w:t>
      </w:r>
    </w:p>
    <w:p>
      <w:r>
        <w:rPr>
          <w:b/>
        </w:rPr>
        <w:t>E. 6.2</w:t>
      </w:r>
    </w:p>
    <w:p>
      <w:r>
        <w:t>Zur bisherigen Praxis des Bundesverwaltungsgerichts die illegale Ausreise aus Eritrea betreffend kann auf das Urteil des BVGer D-7898/2015 vom 30. Januar 2017 (als Referenzurteil publiziert) verwiesen werden (vgl. E. 4.1 f.).</w:t>
      </w:r>
    </w:p>
    <w:p>
      <w:r>
        <w:rPr>
          <w:b/>
        </w:rPr>
        <w:t>E. 6.3</w:t>
      </w:r>
    </w:p>
    <w:p>
      <w:r>
        <w:t>Im besagten Urteil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Urteil D-7898/2015 E. 5.1).</w:t>
      </w:r>
    </w:p>
    <w:p>
      <w:r>
        <w:rPr>
          <w:b/>
        </w:rPr>
        <w:t>E. 6.4</w:t>
      </w:r>
    </w:p>
    <w:p>
      <w:r>
        <w:t>In Anbetracht der geänderten Rechtsprechung kann die Glaubhaftigkeit der illegalen Ausreise vorliegend offen gelassen werden, da solche zusätzlichen Faktoren im Falle des Beschwerdeführers zu verneinen sind. Es gelang ihm gemäss vorstehenden Erwägungen nicht, die geltend gemachte Furcht vor Verfolgung glaubhaft zu machen. Andere Anknüpfungspunkte, welche ihn in den Augen des eritreischen Regimes als missliebige Person erscheinen lassen könnten, sind ebenfalls nicht ersichtlich. Ein politisches oder religiöses Engagement seiner Person oder naher Angehöriger ist den Akten wiederum nicht zu entnehmen, weshalb er nicht als missliebige Person im obernerwähnten Sinne erscheint. Somit bleibt festzuhalten, dass allein die illegale Ausreise in der vorliegenden Fallkonstellation keine Furcht vor einer zukünftigen flüchtlingsrechtlich relevanten Verfolgung zu begründen vermöchte, da keine zusätzlichen Faktoren für ein Risikoprofil zu erkennen sind. Auch das blosse Stellen eines Asylgesuchs im Ausland führt zu keiner entscheidrelevanten Schärfung des Risikoprofils (vgl. Urteil des BVGer D-1045/2016 vom 24. Mai 2016 E. 7.4). Wie bereits erwähnt, kann die Frage der Glaubhaftigkeit der illegalen Ausreise mangels Asylrelevanz daher offenbleiben. Bei dieser Sachlage ist auf entsprechende Beschwerdeargumente nicht weiter einzugehen.</w:t>
      </w:r>
    </w:p>
    <w:p>
      <w:r>
        <w:rPr>
          <w:b/>
        </w:rPr>
        <w:t>E. 6.5</w:t>
      </w:r>
    </w:p>
    <w:p>
      <w:r>
        <w:t>Nach dem Gesagten bestehen beim Beschwerdeführer auch keine flüchtlingsrechtlich relevanten subjektiven Nachfluchtgründe. Die Vorinstanz hat somit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und hier auch Art. 4 EMRK). Vorliegend macht der Beschwerdeführer geltend, der Wegweisungsvollzug sei angesichts der drohenden Einziehung in den eritreischen Nationaldienst und einer damit verbundenen Verletzung von Art. 3 und Art. 4 EMRK als unzulässig anzusehen.</w:t>
      </w:r>
    </w:p>
    <w:p>
      <w:r>
        <w:rPr>
          <w:b/>
        </w:rPr>
        <w:t>E. 8.2.2</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 6.1). Im genannten Urteil hielt das Gericht zunächst fest, dass es sich beim eritreischen Nationaldienst nicht um Sklaverei oder Leibeigenschaft im Sinne von Art. 4 Abs. 1 EMRK handle (vgl. hierzu E. 6.1.4). Ferner prüfte das Gericht ausführlich die Zulässigkeit des Wegweisungsvollzugs sowohl unter dem Gesichtspunkt des Zwangsarbeitsverbots (Art. 4 Abs. 2 EMRK; vgl. dazu nachfolgend E. 8.2.2.2) als auch unter jenem des Verbots der Folter und der unmenschlichen und erniedrigenden Behandlung (Art. 3 EMRK; vgl. dazu nachfolgend E. 8.2.2.3).</w:t>
      </w:r>
    </w:p>
    <w:p>
      <w:r>
        <w:rPr>
          <w:b/>
        </w:rPr>
        <w:t>E. 8.2.2.1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E-5022/2017 E. 6.1.5.2).</w:t>
      </w:r>
    </w:p>
    <w:p>
      <w:r>
        <w:rPr>
          <w:b/>
        </w:rPr>
        <w:t>E. 8.2.2.2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so dass jede Nationaldienstleistende und jeder Nationaldienstleistende dem ernsthaften Risiko ausgesetzt wäre, selbst solche Übergriffe zu erleiden. In diesem Zusammenhang ist in Betracht zu ziehen, dass der Nationaldienst in vielen Fällen im zivilen Bereich geleistet werden kann, wo sich die Situation oft nur gering von Tätigkeiten im Rahmen eines Arbeitsvertrages unterscheidet. Die Berichte zu Misshandlungen hingegen beziehen sich in der Regel auf den militärischen Bereich und stehen vielfach im Zusammenhang mit Desertion. Insgesamt ist eine Verletzung von Art. 4 Abs. 2 EMRK durch den Wegweisungsvollzugs zu verneinen (vgl. zum Ganzen Urteil E-5022/2017 E. 6.1.5.2). Die vom Beschwerdeführer vertretene andere Auffassung ist bei dieser Sachlage nicht von Relevanz.</w:t>
      </w:r>
    </w:p>
    <w:p>
      <w:r>
        <w:rPr>
          <w:b/>
        </w:rPr>
        <w:t>E. 8.2.2.3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es existierten keine hinreichenden Belege dafür, wonach Misshandlungen und sexuelle Übergriffe im Nationaldienst systematisch stattfänden, so dass jede Dienstleistende und jeder Dienstleistender dem ernsthaften Risiko ausgesetzt wäre, selbst solche Übergriffe zu erleiden (vgl. dazu E.8.1.2.2). Es bestehe daher kein ernsthaftes Risiko einer Verletzung von Art. 3 EMRK im Falle einer Einziehung in den eritreischen Nationaldienst (E. 6.1.6). Vor diesem Hintergrund vermögen die gegenteiligen Argumente des Beschwerdeführers wiederum nicht zu einer anderen Betrachtungsweise zu führen.</w:t>
      </w:r>
    </w:p>
    <w:p>
      <w:r>
        <w:rPr>
          <w:b/>
        </w:rPr>
        <w:t>E. 8.2.3</w:t>
      </w:r>
    </w:p>
    <w:p>
      <w:r>
        <w:t>Weitere allfällige Gründe für die Annahme der Unzulässigkeit des Wegweisungsvollzugs ergeben sich weder aus den vorinstanzlichen Akten noch aus den Beschwerdeeingaben. Der Wegweisungsvollzug ist folglich als zulässig zu betrachten.</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Im Urteil des BVGer D-2311/2016 vom 17. August 2017 (als Referenzurteil publiziert) wurde nach eingehender Analyse der Ländersituation festgehalten (vgl. E. 15 und 16), angesichts der dokumentierten Verbesserungen in der Nahrungsmittel- und Wasserversorgung, im Bildungswesen sowie im Gesundheitssystem Eritreas könne die bisherige Praxis, dass eine Rückkehr nur bei begünstigenden individuellen Umständen zumutbar sei (vgl. EMARK 2005 Nr. 12), nicht mehr aufrechterhalten werden (E. 17.2). Das Gericht stufte den Wegweisungsvollzug nach Eritrea als grundsätzlich zumutbar ein.</w:t>
      </w:r>
    </w:p>
    <w:p>
      <w:r>
        <w:rPr>
          <w:b/>
        </w:rPr>
        <w:t>E. 8.3.3</w:t>
      </w:r>
    </w:p>
    <w:p>
      <w:r>
        <w:t>Im bereits erwähnten Urteil E-5022/2017 befand das Gericht nunmehr, dass auch Personen, welche im Falle einer Rückkehr nach Eritrea in den Nationaldienst eingezogen würden, aufgrund der allgemeinen Verhältnisse im Nationaldienst nicht in eine existenzielle Notlage zu geraten drohten (vgl. E. 6.2.3). Zudem bestehe kein Grund zur Annahme, sie würden überwiegend wahrscheinlich von Misshandlungen und sexueller Übergriffen betroffen (vgl. E. 6.2.4). Demnach sei auch nicht davon auszugehen, dass Nationaldienstleistende bei Rückkehr generell im Sinne von Art. 83 Abs. 4 AuG konkret gefährdet seien. Die drohende Einziehung in den eritreischen Nationaldienst führt mithin nicht zur Unzumutbarkeit des Wegweisungsvollzugs.</w:t>
      </w:r>
    </w:p>
    <w:p>
      <w:r>
        <w:rPr>
          <w:b/>
        </w:rPr>
        <w:t>E. 8.3.4</w:t>
      </w:r>
    </w:p>
    <w:p>
      <w:r>
        <w:t>Angesichts der im Urteil D-2311/2016 festgehaltenen schwierigen allgemeinen - und insbesondere wirtschaftlichen - Lage in Eritrea muss bei Vorliegen besonderer Umstände aber nach wie vor von einer Existenzbedrohung ausgegangen werden. Die Frage der Zumutbarkeit bleibt im Einzelfall zu prüfen (E. 17.2). Beim Beschwerdeführer handelt es sich um einen jungen und gesunden Mann mit einem sozialen Netz in Eritrea. Gemäss Anhörungsprotokoll verfügen die Angehörigen auch über einen gewissen wirtschaftlichen Rückhalt (vgl. A 26/18 Antworten 17, 42 und 169 f.). Die auf Beschwerdeebene bloss behauptete Verschlechterung der wirtschaftlichen Situation vermag vor diesem Hintergrund nicht zu überzeugen. Jedenfalls ist nicht davon auszugehen, dass er nach der Rückkehr in eine unzumutbare Situation gerät. Aktuell haben sich überdies weitere Verbesserungen vor Ort ergeben; namentlich haben Äthiopien und Eritrea jüngst ein Friedensabkommen geschlossen (vgl. Neue Zürcher Zeitung, Trotz Friedensabkommen in Eritrea - Asylpraxis bei Eritreern ändert sich vorerst nicht, 11. Juli 2018).</w:t>
      </w:r>
    </w:p>
    <w:p>
      <w:r>
        <w:rPr>
          <w:b/>
        </w:rPr>
        <w:t>E. 8.3.5</w:t>
      </w:r>
    </w:p>
    <w:p>
      <w:r>
        <w:t>Nach dem Gesagten erweist sich der Vollzug der Wegweisung auch als zumutbar.</w:t>
      </w:r>
    </w:p>
    <w:p>
      <w:r>
        <w:rPr>
          <w:b/>
        </w:rPr>
        <w:t>E. 8.4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Es kann in Anbetracht der vorgenommenen Praxisänderungen davon abgesehen werden, auf weitere Argumente in der Beschwerde einzugehen.</w:t>
      </w:r>
    </w:p>
    <w:p>
      <w:r>
        <w:rPr>
          <w:b/>
        </w:rPr>
        <w:t>E. 10.1</w:t>
      </w:r>
    </w:p>
    <w:p>
      <w:r>
        <w:t>Bei diesem Ausgang des Verfahrens wären die Verfahrenskosten dem Beschwerdeführer aufzuerlegen (Art. 63 Abs. 1 VwVG). Er stellte in seiner Rechtsmitteleingabe jedoch ein Gesuch um unentgeltliche Rechtspflege im Sinne von Art. 65 Abs. 1 VwVG, welches das Gericht mit Instruktionsverfügung vom 1. Februar 2018 guthiess. Folglich sind keine Verfahrenskosten zu erheben.</w:t>
      </w:r>
    </w:p>
    <w:p>
      <w:r>
        <w:rPr>
          <w:b/>
        </w:rPr>
        <w:t>E. 10.2</w:t>
      </w:r>
    </w:p>
    <w:p>
      <w:r>
        <w:t>Aufgrund der angeordneten Bestellung des aktuellen Rechtsvertreters als amtlichen Rechtsbeistand (vgl. Zwischenverfügung vom 4. Mai 2018) ist diesem ein entsprechendes Honorar auszurichten (vgl. für die Grundsätze der Bemessung der Parteientschädigung Art. 7 ff. des Reglements über die Kosten und Entschädigungen vor dem Bundesverwaltungsgericht vom 21. Februar 2008 [VGKE, SR 173.320.2]). Mit der Honorarabrechnung vom 12. Februar 2018 wird ein Vertretungsaufwand in der Höhe von insgesamt Fr. 1'749.47 geltend gemacht. Dabei erweist sich die Höhe des Stundenansatzes von Fr. 250. in Anbetracht des Unterliegens nicht als angemessen. Im Sinne des von der vormaligen Rechtsvertreterin gemachten Vermerks für den Fall des Unterliegens ist von einem Stundenansatz von Fr. 150.- auszugehen. Es resultiert mithin ein amtliches Honorar von gerundet Fr. 1'142.-.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