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D-5816/2011 vom 28. August 2012</w:t>
      </w:r>
    </w:p>
    <w:p>
      <w:r>
        <w:t>Bundesverwaltungsgericht, 2012-08-28, DE</w:t>
      </w:r>
    </w:p>
    <w:p>
      <w:r>
        <w:rPr>
          <w:b/>
        </w:rPr>
        <w:t xml:space="preserve">Quelle: </w:t>
      </w:r>
      <w:r>
        <w:t>https://mcp.opencaselaw.ch/entscheid/bvger_D-5816_2011</w:t>
      </w:r>
    </w:p>
    <w:p>
      <w:r>
        <w:t>FR: TAF D-5816/2011 du 28 août 2012</w:t>
      </w:r>
    </w:p>
    <w:p>
      <w:r>
        <w:t>IT: TAF D-5816/2011 del 28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gemäss den Rechtsbegehren und der Begründung ausschliesslich gegen den Vollzug der von der Vorinstanz verfügten Wegweisung. Die Verfügung des BFM vom 29. September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 abgesehen von den formellen Rügen - lediglich die Frage, ob das Bundesamt den Vollzug der Wegweisung zu Recht als zulässig, zumutbar und möglich erklärt hat.</w:t>
      </w:r>
    </w:p>
    <w:p>
      <w:r>
        <w:rPr>
          <w:b/>
        </w:rPr>
        <w:t>E. 5.1</w:t>
      </w:r>
    </w:p>
    <w:p>
      <w:r>
        <w:t>Der Beschwerdeführer macht in formeller Hinsicht geltend, dass die Vorinstanz die Begründungspflicht verletzt habe, indem sie es unterlassen habe, die relevanten Herkunftsländerinformationen, auf welche sie ihren Entscheid stütze, offenzulegen. Der gebotenen Begründungspflicht sei die Vorinstanz auch deshalb nicht in genügendem Masse nachgekommen, da sie in der angefochtenen Verfügung ohne Begründung von der langjährigen Praxis des Bundesverwaltungsgerichts abgewichen sei. Daher sei die angefochtene Verfügung in den Dispositionspunkten 4 und 5 infolge Verletzung des Grundsatzes des rechtlichen Gehörs aufzuheben und an die Vorinstanz zur Neubeurteilung zurückzuweisen.</w:t>
      </w:r>
    </w:p>
    <w:p>
      <w:r>
        <w:rPr>
          <w:b/>
        </w:rPr>
        <w:t>E. 5.2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5.4</w:t>
      </w:r>
    </w:p>
    <w:p>
      <w:r>
        <w:t>Soweit in der Beschwerde gerügt wird, die Vorinstanz habe die Begründungspflicht verletzt, indem sie es unterlassen habe, die relevanten Herkunftsländerinformationen, auf welche sie ihren Entscheid stütze, offenzulegen, ist Folgendes festzuhalten: Mit Ausnahme der UNHCR-Richtlinien zur Feststellung des internationalen Schutzbedarfs sri-lankischer Asylsuchender vom 5. Juli 2010 finden sich weder in der angefochtenen Verfügung noch in den übrigen vorinstanzlichen Akten explizit bezeichnete Länderberichte oder -informationen, in welche das BFM dem Beschwerdeführer hätte Einsicht gewähren können. Allgemeine Länderinformationen, welche der internen Erkenntnisbildung dienen, sind gemäss ständiger Rechtspraxis nicht Bestandteil des Akteneinsichtsrechts und folglich auch nicht offenzulegen. In Bezug auf die in der angefochtenen Verfügung erwähnten UNHCR-Richtlinien vom 5. Juli 2010 ist im Übrigen festzustellen, dass diese öffentlich zugänglich sind - so auch im Internet -, weswegen auch diesbezüglich keine Verletzung des Akteneinsichtsrechts beziehungsweise der Begründungspflicht vorliegt. Daran ändert auch die Tatsache nichts, dass in der angefochtenen Verfügung darauf verzichtet wurde, bezüglich dieses Dokuments die relevanten Passagen anzugeben. Aus den Akten geht nicht hervor, dass die Vorinstanz den angefochtenen Entscheid auf Erkenntnisse gestützt hätte, die sie von ihrer Dienstreise im Herbst 2010 gewonnen hat, weswegen sie auch nicht verpflichtet gewesen wäre, diesbezügliche Unterlagen in der Verfügung zu erwähnen beziehungsweise dem Beschwerdeführer hierzu Akteneinsicht zu gewähren. An dieser Einschätzung ändert auch der Umstand nichts, dass das Bundesverwaltungsgericht dem Beschwerdeführer mit Verfügung vom 10. Mai 2012 den BFM-Bericht vom 22. Dezember 2011 betreffend eine Dienstreise nach Sri Lanka zur Stellungnahme zustellte. Schliesslich ist davon auszugehen, dass das BFM dem Beschwerdeführer mit Schreiben vom 17. Oktober 2011 alle entscheidwesentlichen Verfahrensakten im gesetzlich zulässigen Umfang ediert hat, nachdem im Beschwerdeverfahren keine anders lautende Rüge erhoben wurde. Insbesondere wurde keine Verletzung des Akteneinsichtsrechts bezüglich einzelner von der durch das BFM gewährten Einsicht ausgenommener Dokumente geltend gemacht. Insgesamt liegt somit keine Verletzung des Akteneinsichtsrechts beziehungsweise der Begründungspflicht vor, da das BFM nicht gehalten war, die verwendeten allgemein zugänglichen Länderinformationen im beantragten Ausmass detailliert offenzulegen. Der gestellte Antrag, das BFM sei anzuweisen, sämtliche Herkunftsländerinformationen, auf welche es seinen Entscheid stützte, mittels Quellenangaben offenzulegen, ist daher abzuweisen.</w:t>
      </w:r>
    </w:p>
    <w:p>
      <w:r>
        <w:rPr>
          <w:b/>
        </w:rPr>
        <w:t>E. 5.5</w:t>
      </w:r>
    </w:p>
    <w:p>
      <w:r>
        <w:t>Bezüglich der Rüge des Beschwerdeführers in der Rechtsmittelschrift, wonach eine Verletzung der Begründungspflicht und seines Anspruchs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6.3.2 nachstehend). Inwiefern das BFM mit seinem Vorgehen die Begründungspflicht verletzt haben soll, ist in Anbetracht der insgesamt ausgewogenen und differenzierten Erwägungen in der angefochtenen Verfügung ohnehin nicht ersichtlich.</w:t>
      </w:r>
    </w:p>
    <w:p>
      <w:r>
        <w:rPr>
          <w:b/>
        </w:rPr>
        <w:t>E. 5.6</w:t>
      </w:r>
    </w:p>
    <w:p>
      <w:r>
        <w:t>Bei dieser Sachlage besteht somit keine Veranlassung, die angefochtene Verfügung aus formellen Gründen aufzuheben, weshalb das Begehren des Beschwerdeführers, der Entscheid vom 29. September 2011 sei in den Dispositivpunkten 4 und 5 aufzuheben und zur Neubeurteilung der Sache an das BFM zurückzuweisen, abzuweisen ist.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An dieser Einschätzung ändern auch die diesbezüglichen Vorbringen des Beschwerdeführers in der Rechtsmittelschrift beziehungsweise in der Stellungnahme vom 25. Mai 2012 sowie die dort zitierten Berichte nichts, weshalb es sich erübrigt, weiter darauf einzugehen.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BVGE 2011/24 hat das Bundesverwaltungsgericht angesichts der veränderten Situation in Sri Lanka nach dem Ende des sri-lankischen Bürgerkriegs am 19. Mai 2009 eine aktualisierte, auch heute noch zutreffende Lagebeurteilung vorgenommen. In Bezug auf die Frage der Zumutbarkeit des Wegweisungsvollzugs ist es dabei hinsichtlich der Ostprovinz und C._______ - wo der Beschwerdeführer vor seiner Ausreise Wohnsitz hatte - im Wesentlichen zu folgender Einschätzung gelangt (vgl. a.a.O., E. 13.1.): 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"Singhalisierung" des Ostens. Die Polizeipräsenz soll vergleichbar sein mit den Verhältnissen in Colombo. Die Sicherheitseinschränkungen im Trincomalee-Distrikt hatten bereits im Jahr 2009 merklich abgenommen. Die Sicherheitslage in Batticaloa hat sich ebenfalls merklich verbessert, obwohl die Stadt nach wie vor eine hohe Militärpräsenz aufweist. Die seit 2009 erfolgte Entspannung der Sicherheitslage in der Ostprovinz ist auch für die lokale Bevölkerung spürbar, und der Fortschritt ist erkennbar geworden: Die Infrastruktur wird im Rahmen grossangelegter Entwicklungsprojekte ausgebaut (Aufbau neuer Strassen und Brücken sowie Elektrizitäts- und Fernmeldeleitungen). Das Bundesverwaltungsgericht erachtet aufgrund der dort herrschenden allgemeinen Lage - in Übereinstimmung mit dem BFM - den Wegweisungsvollzug in das gesamte Gebiet der Ostprovinz als grundsätzlich zumutbar.</w:t>
      </w:r>
    </w:p>
    <w:p>
      <w:r>
        <w:rPr>
          <w:b/>
        </w:rPr>
        <w:t>E. 6.3.3</w:t>
      </w:r>
    </w:p>
    <w:p>
      <w:r>
        <w:t>Gemäss den Angaben, die der Beschwerdeführer im erstinstanzlichen Asylverfahren machte, lebte er von Geburt bis zu seiner Ausreise aus Sri Lanka in der Stadt C._______, Ostprovinz. Dort wohnen nach wie vor seine Mutter, seine Ehefrau sowie seine zwei fast erwachsenen Kinder. Zudem leben seine sechs Geschwister ebenfalls alle im selben Distrikt (BFM-Akten A 8/27 S. 3 ff.). Es liegen keine aktuelleren Erkenntnisse vor, die zur Annahme führen würden, dass die Familienangehörigen des Beschwerdeführers sich heute nicht mehr in der Stadt beziehungsweise im Distrikt C._______ aufhalten würden. In Erwägung zu ziehen ist ausserdem, dass der Beschwerdeführer gemäss eigenen Aussagen in Sri Lanka jahrelang als (...) und (...) tätig war. Den vorliegenden Akten sind auch keine Hinweise auf gesundheitliche Schwierigkeiten des Beschwerdeführers zu entnehmen. Es erweist sich somit, dass der Beschwerdeführer die vom Bundesverwaltungsgericht in BVGE 2011/24 bezüglich der Zumutbarkeit des Wegweisungsvollzugs nach Sri Lanka formulierten Kriterien erfüllt. Er wird nach der Rückkehr in sein Heimatland sowohl auf die Unterstützung seiner in der Stadt beziehungsweise im Distrikt C._______ lebenden Angehörigen und Verwandten zählen können und bei ihnen eine Unterkunftsmöglichkeit vorfinden, als auch in Zukunft in der Lage sein, sich dank seiner beruflichen Kenntnisse wieder wirtschaftlich zu 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(vgl. BVGE 2008/34 E. 11.2.2). Entgegen den Vorbringen des Beschwerdeführers in der Rechtsmittelschrift sowie der Stellungnahme vom 25. Mai 2012 ist somit nicht anzunehmen, dass er bei einer Rückkehr in seinen Heimatstaat in eine existenzielle Notlage geraten wird. Der Vollzug der Wegweisung erweist sich damit sowohl in genereller als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18. Oktober 2011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