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D-5810/2016 vom 17. März 2017</w:t>
      </w:r>
    </w:p>
    <w:p>
      <w:r>
        <w:t>Bundesverwaltungsgericht, 2017-03-17, DE</w:t>
      </w:r>
    </w:p>
    <w:p>
      <w:r>
        <w:rPr>
          <w:b/>
        </w:rPr>
        <w:t xml:space="preserve">Quelle: </w:t>
      </w:r>
      <w:r>
        <w:t>https://mcp.opencaselaw.ch/entscheid/bvger_D-5810_2016</w:t>
      </w:r>
    </w:p>
    <w:p>
      <w:r>
        <w:t>FR: TAF D-5810/2016 du 17 mars 2017</w:t>
      </w:r>
    </w:p>
    <w:p>
      <w:r>
        <w:t>IT: TAF D-5810/2016 del 17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Der Wegweisungsvollzug wurde zugunsten einer vorläufigen Aufnahme aufgeschoben und bildet deshalb nicht mehr Gegenstand des Beschwerdeverfahrens.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Beschwerdebegehren macht der Beschwerdeführer im Wesentlichen geltend, die Vorinstanz gehe zusammengefasst neu davon aus, dass Minderjährige, da angeblich noch nicht dienstpflichtig, gefahrlos nach Eritrea zurückkehren könnten und für den Akt der illegalen Ausreise nicht bestraft würden. Dabei handle es sich um eine Praxisänderung des SEM, die im Widerspruch zur bisherigen Rechtsprechung des Bundesverwaltungsgerichts stehe. Gegen diese Praxisänderung richte sich die vorliegende Beschwerde. Die Vorinstanz habe namentlich das in BVGE 2010/54 festgelegte Prozedere bei Praxisänderungen missachtet, weshalb die angefochtene Verfügung zu kassieren und zu neuem Entscheid an die Vorinstanz zurückzuweisen sei. Des Weiteren habe die Vorinstanz vorliegend bei der Beurteilung von Länderinformationen der Einhaltung von Country of Origin Information (COI) Standards nicht die gemäss BVGE 2015/10 E. 5.2.2.2 erforderliche Beachtung geschenkt. Diese Standards müssten analog auch bei der Beurteilung des Risikos einer flüchtlingsrechtlich relevanten Gefährdung im Falle einer Rückkehr von Personen, die Eritrea illegal verlassen hätten, Anwendung finden. Da dies vorliegend nicht geschehen sei, erscheine eine Praxisänderung zum heutigen Zeitpunkt unzulässig.</w:t>
      </w:r>
    </w:p>
    <w:p>
      <w:r>
        <w:rPr>
          <w:b/>
        </w:rPr>
        <w:t>E. 5.2.1</w:t>
      </w:r>
    </w:p>
    <w:p>
      <w:r>
        <w:t>Die Vorbringen in der Beschwerdeschrift vermögen nicht zu einer veränderten Betrachtungsweise zu führen.</w:t>
      </w:r>
    </w:p>
    <w:p>
      <w:r>
        <w:rPr>
          <w:b/>
        </w:rPr>
        <w:t>E. 5.2.2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5.2.3</w:t>
      </w:r>
    </w:p>
    <w:p>
      <w:r>
        <w:t>Das Bundesverwaltungsgericht hat im oben genannten Koordinationsentscheid D-7898/2015 vom 30. Januar 2017 die Zulässigkeit der durch die Vorinstanz vorgenommenen Praxisänderung bestätigt, weshalb sich an dieser Stelle Ausführungen zu BVGE 2015/10 E. 5.2.2.2 erübrigen. Mit der Bestätigung der Praxisänderung hat das Bundesverwaltungsgericht implizit auch das Vorgehen der Vorinstanz bestätigt, weshalb der Beschwerdeführer aus BVGE 2010/54 nichts ableiten kann. Im Übrigen ist darauf hinzuweisen, dass sich BVGE 2010/54 mit der Frage der Zumutbarkeit des Vollzugs von Wegweisungen auseinandersetzt, vorliegend aber die Anerkennung der Flüchtlingseigenschaft Gegenstand des Beschwerdeverfahrens bildet und die langjährige bisherige Praxis der Vorinstanz nicht auf einem publizierten Koordinationsentscheid des Gerichts beruhte. Schliesslich finden sich in der angefochtenen Verfügung Hinweise auf die Praxisänderung, die Vorinstanz hat diese dem Gericht vorgängig kommuniziert und die Öffentlichkeit durch die Medienkonferenz vom 23. Juni 2016 informiert. Die Vorgehensweise der Vorinstanz ist somit nicht zu beanstanden, weshalb eine Kassation der angefochtenen Verfügung nebst Rückweisung zu neuem Entscheid an die Vorinstanz ausser Betracht fallen.</w:t>
      </w:r>
    </w:p>
    <w:p>
      <w:r>
        <w:rPr>
          <w:b/>
        </w:rPr>
        <w:t>E. 5.2.4</w:t>
      </w:r>
    </w:p>
    <w:p>
      <w:r>
        <w:t>Wie sich aus den Akten ergibt, hat der Beschwerdeführer keinen Vorfluchtgrund, sondern ausschliesslich die illegale Ausreise aus dem Heimatstaat geltend gemacht. Dementsprechend vermag er keine zusätzlichen Anknüpfungspunkte für eine Verschärfung seines Profils zu belegen oder mindestens glaubhaft zu machen, weshalb sich keine asylrechtlich beachtliche Verfolgung annehmen lässt. Nach dem Gesagten vermögen die weiteren Beschwerdeausführungen wie auch die Behauptungen in der Eingabe vom 21. November 2016 am Beweisergebnis nichts zu ändern. Indem die Vorinstanz eine vorläufige Aufnahme anordnete, hat sie den Umständen des Einzelfalls (Lage vor Ort) ausreichend Rechnung getragen. Um Wiederholungen zu vermeiden, ist auf das erwähnte Koordinationsurteil des Bundesverwaltungsgerichts sowie die zutreffenden Erwägungen der Vorinstanz, die zu Recht die Flüchtlingseigenschaft verneint und das Asylgesuch des Beschwerdeführers abgelehnt hat, zu verweisen.</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AsylG). Die Beschwerde ist abzuweisen.</w:t>
      </w:r>
    </w:p>
    <w:p>
      <w:r>
        <w:rPr>
          <w:b/>
        </w:rPr>
        <w:t>E. 8.1</w:t>
      </w:r>
    </w:p>
    <w:p>
      <w:r>
        <w:t>Mit vorliegendem Urteil ist der Antrag, es sei auf die Erhebung eines Kostenvorschusses zu verzichten, gegenstandslos geworden.</w:t>
      </w:r>
    </w:p>
    <w:p>
      <w:r>
        <w:rPr>
          <w:b/>
        </w:rPr>
        <w:t>E. 8.2</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w:t>
      </w:r>
    </w:p>
    <w:p>
      <w:r>
        <w:rPr>
          <w:b/>
        </w:rPr>
        <w:t>E. 8.3</w:t>
      </w:r>
    </w:p>
    <w:p>
      <w:r>
        <w:t>Bei diesem Ausgang des Verfahrens sind die Kosten dem Beschwer-deführer aufzuerlegen (Art. 63 Abs. 1 VwVG) und auf insgesamt Fr. 600.-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