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D-5807/2024 vom 25. September 2024</w:t>
      </w:r>
    </w:p>
    <w:p>
      <w:r>
        <w:t>Bundesverwaltungsgericht, 2024-09-25, DE</w:t>
      </w:r>
    </w:p>
    <w:p>
      <w:r>
        <w:rPr>
          <w:b/>
        </w:rPr>
        <w:t xml:space="preserve">Quelle: </w:t>
      </w:r>
      <w:r>
        <w:t>https://mcp.opencaselaw.ch/entscheid/bvger_D-5807_2024</w:t>
      </w:r>
    </w:p>
    <w:p>
      <w:r>
        <w:t>FR: TAF D-5807/2024 du 25 septembre 2024</w:t>
      </w:r>
    </w:p>
    <w:p>
      <w:r>
        <w:t>IT: TAF D-5807/2024 del 25 settembre 2024</w:t>
      </w:r>
    </w:p>
    <w:p>
      <w:pPr>
        <w:pStyle w:val="Heading2"/>
      </w:pPr>
      <w:r>
        <w:t>Regeste</w:t>
      </w:r>
    </w:p>
    <w:p>
      <w:r>
        <w:t>Asyl und Wegweisung (beschleunigtes Verfahren)</w:t>
      </w:r>
    </w:p>
    <w:p>
      <w:pPr>
        <w:pStyle w:val="Heading2"/>
      </w:pPr>
      <w:r>
        <w:t>Erwägungen</w:t>
      </w:r>
    </w:p>
    <w:p>
      <w:r>
        <w:rPr>
          <w:b/>
        </w:rPr>
        <w:t>E. 11</w:t>
      </w:r>
    </w:p>
    <w:p>
      <w:r>
        <w:t>Juni 2024, D-1699/2024 vom 17. April 2024 E. 7.2 und E-1373/2024 vom 20. März 2024 E. 6.3, m.w.H.),</w:t>
      </w:r>
    </w:p>
    <w:p>
      <w:r>
        <w:t>D-5807/2024 Seite 7 dass die entsprechenden vorinstanzlichen Erwägungen demnach mit der Rechtsprechung des Bundesverwaltungsgerichts in ähnlich gelagerten Fällen übereinstimmen und nicht zu beanstanden sind, dass sich in den Akten auch keine Hinweise auf eine allfällige Reflexverfol- gung des Beschwerdeführers aufgrund seiner angeblich politischen Fami- lie (vgl. A16/15 F59) entnehmen lassen, zumal er auch auf Beschwerde- ebene nicht substantiiert, inwiefern er aufgrund seiner Verwandten flücht- lingsrechtlich relevanten Nachteilen ausgesetzt gewesen sein soll, dass zusammenfassend nicht davon auszugehen ist, der türkische Staat habe ein Verfolgungsinteresse an der strafrechtlich unbescholtenen und politisch nicht respektive kaum aktiven Person des Beschwerdeführers,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w:t>
      </w:r>
    </w:p>
    <w:p>
      <w:r>
        <w:t>D-5807/2024 Seite 8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hinsichtlich der Zumutbarkeit des Wegweisungsvollzugs im Übrigen vollumfänglich auf die angefochtene Verfügung verwiesen werden kann und dem lediglich hinzuzufügen ist, dass sich den Akten – wie bereits hier- vor dargelegt – keine Hinweise auf die in der Rechtsmitteleingabe pauschal geltend gemachten psychischen Leiden des Beschwerdeführers entneh- men lassen,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die Kosten des Verfahrens – welche praxisgemäss auf Fr. 750.– zu bestimmen – sind dem Beschwerdeführer aufzuerlegen sind (Art. 63 Abs. 1 VwVG; Art. 1–3 des Reglements vom 21. Februar 2008 über die Kosten und Entschädigungen vor dem Bundesverwaltungsgericht [VGKE, SR 173.320.2]).</w:t>
      </w:r>
    </w:p>
    <w:p>
      <w:r>
        <w:t>(Dispositiv nächste Seite)</w:t>
      </w:r>
    </w:p>
    <w:p>
      <w:r>
        <w:t>D-5807/2024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