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D-5799/2023 vom 30. November 2023</w:t>
      </w:r>
    </w:p>
    <w:p>
      <w:r>
        <w:t>Bundesverwaltungsgericht, 2023-11-30, DE</w:t>
      </w:r>
    </w:p>
    <w:p>
      <w:r>
        <w:rPr>
          <w:b/>
        </w:rPr>
        <w:t xml:space="preserve">Quelle: </w:t>
      </w:r>
      <w:r>
        <w:t>https://mcp.opencaselaw.ch/entscheid/bvger_D-5799_2023</w:t>
      </w:r>
    </w:p>
    <w:p>
      <w:r>
        <w:t>FR: TAF D-5799/2023 du 30 novembre 2023</w:t>
      </w:r>
    </w:p>
    <w:p>
      <w:r>
        <w:t>IT: TAF D-5799/2023 del 30 novembre 2023</w:t>
      </w:r>
    </w:p>
    <w:p>
      <w:pPr>
        <w:pStyle w:val="Heading2"/>
      </w:pPr>
      <w:r>
        <w:t>Regeste</w:t>
      </w:r>
    </w:p>
    <w:p>
      <w:r>
        <w:t>Asyl und Wegweisung (beschleunigtes 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w:t>
      </w:r>
    </w:p>
    <w:p>
      <w:r>
        <w:t>D-5799/2023 Seite 4 26. Juni 1998 [AsylG; SR 142.31]; Art. 83 Bst. d Ziff. 1 des Bundesgeset- 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vom 1. April 2020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t>D-5799/2023 Seite 5</w:t>
      </w:r>
    </w:p>
    <w:p>
      <w:r>
        <w:rPr>
          <w:b/>
        </w:rPr>
        <w:t>E. 4.2</w:t>
      </w:r>
    </w:p>
    <w:p>
      <w:r>
        <w:t>Wer um Asyl nachsucht, muss die Flüchtlingseigenschaft nachweisen oder zumindest glaubhaft machen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w:t>
      </w:r>
    </w:p>
    <w:p>
      <w:r>
        <w:rPr>
          <w:b/>
        </w:rPr>
        <w:t>E. 5.1</w:t>
      </w:r>
    </w:p>
    <w:p>
      <w:r>
        <w:t>Der Beschwerdeführer brachte in Bezug auf seine Asylgründe vor, er sei türkischer Staatsangehöriger kurdischer Ethnie und stamme aus C._______ in der (…) Provinz. Am (…) 2017 sei er für einen Tag in Ge- wahrsam gehalten worden, nachdem er an einer unbewilligten Kundge- bung gegen das Verbot des Tabakhandels teilgenommen habe. Einen Mo- nat später habe die Gerichtsverhandlung stattgefunden, wobei das Verfah- ren eingestellt und er 1200 türkische Lira in die Gerichtskasse habe ein- zahlen müssen. Am (…) 2022 sei er im Rahmen desselben Verfahrens dennoch zu einer bedingten Gefängnisstrafe mit einer Probezeit von fünf Jahren verurteilt worden. Der eigentliche Ausreisegrund liege indessen nicht in diesem Strafverfahren, sondern in den Drohungen, die er erhalten habe. Und zwar sei er im Jahr 2022 drei Mal von «unbekannten Zivilperso- nen» angesprochen und namentlich mit dem Tod bedroht worden, sollte er sich weigern, Informationen zu seiner Familie, seinen Verwandten, die Dorfbewohner sowie die Besucher seines Onkels M. zu liefern. Die aufge- zählten Personen unterstützten namentlich die HDP (Halklarin Demokratik Partisi) und einige von ihnen seien Sympathisanten der PKK (Partiya Karkerên Kurdistanê); er selbst sei ebenfalls Sympathisant der HDP. Seine Mutter habe ihm schliesslich geraten, lieber auszureisen als die genannten Ereignisse den türkischen Behörden zu melden. So sei er schliesslich mit seinem Reisepass von Istanbul nach Albanien oder Kosovo geflogen. An- schliessend sei er mit dem Auto nach Serbien und schliesslich mit dem Zug respektive mit einem Lastkraftwagen (LKW) in die Schweiz gereist.</w:t>
      </w:r>
    </w:p>
    <w:p>
      <w:r>
        <w:rPr>
          <w:b/>
        </w:rPr>
        <w:t>E. 5.2</w:t>
      </w:r>
    </w:p>
    <w:p>
      <w:r>
        <w:t>In der Stellungnahme zum Entscheidentwurf wies der Beschwerdefüh- rer insbesondere darauf hin, dass er sich in Bezug auf die geltend gemach- ten Bedrohungen nicht an die Polizei habe wenden können, da die Zivil- personen für den Staat gearbeitet hätten. Zudem habe er das letzte halbe Jahr vor seiner Ausreise nicht an seiner offiziell registrierten Adresse ge- lebt, sondern sich versteckt gehalten und in diesem Zeitraum «schwarz» gearbeitet. Hinsichtlich der Verurteilung zu einer bedingten</w:t>
      </w:r>
    </w:p>
    <w:p>
      <w:r>
        <w:t>D-5799/2023 Seite 6 Gefängnisstrafe mit einer Probezeit von 5 Jahren müssten die eingereich- ten Beweismittel übersetzt und genauer geprüft werden, um beurteilen zu können, inwieweit diese Verurteilung eine legitime Strafverfolgung dar- stelle. Seine Mutter sei schwerkrank. Er hätte die Türkei nicht verlassen, wenn er keine Probleme und Angst gehabt hätte.</w:t>
      </w:r>
    </w:p>
    <w:p>
      <w:r>
        <w:rPr>
          <w:b/>
        </w:rPr>
        <w:t>E. 5.3</w:t>
      </w:r>
    </w:p>
    <w:p>
      <w:r>
        <w:t>Das SEM führt zur Begründung des Asylentscheids im Wesentlichen aus, es lägen keine flüchtlingsrechtlich relevanten Nachteile vor. So sei im gegen den Beschwerdeführer eröffneten Strafverfahren im Zusammen- hang mit der illegalen Kundgebung im Jahr 2017 und der im Rahmen des- sen ausgesprochenen bedingten Haftstrafe kein Malus erkennbar. Es handle sich folglich um staatliche Massnahmen, die zu rechtsstaatlich legi- timen Zwecken ergriffen worden seien. Zudem sei darauf hinzuweisen, dass der Beschwerdeführer erst rund ein Jahr nach Ausstellung des Ent- lassungsscheins am (…) 2022 (vgl. BM SEM – Nr. 4) ausgereist sei und im Übrigen selbst angegeben habe, das Strafverfahren sei nicht Auslöser sei- ner Ausreise gewesen. Was die drei Vorfälle der Bedrohungen durch un- bekannte Zivilpersonen angehe, handle es sich um eine Verfolgung durch Dritte. Die Sorge seiner Mutter könne dabei nicht als Argument für die Un- zumutbarkeit der Inanspruchnahme staatlichen Schutzes dienen und es könne nicht von einer grundsätzlichen Schutzunfähigkeit und -unwilligkeit des türkischen Staates ausgegangen werden. Schliesslich be- stätige die legale Ausreise des Beschwerdeführers mit seinem Reisepass die Einschätzung, wonach seine Vorbringen den Anforderungen an die Flüchtlingseigenschaft gemäss Art. 3 AsylG nicht standhielten. Soweit in der Stellungnahme zum Entscheidentwurf vorgebracht werde, die einge- reichten Beweismittel müssten übersetzt und näher betrachtet werden, sei dies nicht angezeigt, zumal sie die Aussagen des Beschwerdeführers be- stätigten und nicht geeignet seien, an der gemachten Einschätzung etwas zu ändern.</w:t>
      </w:r>
    </w:p>
    <w:p>
      <w:r>
        <w:rPr>
          <w:b/>
        </w:rPr>
        <w:t>E. 5.4</w:t>
      </w:r>
    </w:p>
    <w:p>
      <w:r>
        <w:t>In der Beschwerdeschrift wird dem im Wesentlichen entgegnet, das Le- ben des Beschwerdeführers habe sich im Anschluss an die Ereignisse im Jahr 2017 drastisch verändert. So sei er fichiert worden, Freunde hätten sich von ihm distanziert und er sei bei mehreren Arbeitsstellen kurz nach der Einarbeitung entlassen worden. Er sei zudem in einem Umfeld von Mit- gliedern und Sympathisanten der HDP und der PKK aufgewachsen und seine Familienmitglieder seien dem türkischen Staat als oppositionell ge- sinnte Personen bekannt und würden aufgrund ihrer politischen Anschau- ungen unterdrückt, ausgegrenzt, benachteiligt und bedroht. Soweit er in der Anhörung angegeben habe, von «Zivilpersonen» bedroht worden zu</w:t>
      </w:r>
    </w:p>
    <w:p>
      <w:r>
        <w:t>D-5799/2023 Seite 7 sein, bedeute dieser Begriff in der türkischen Sprache «zivile Polizisten». Er sei noch jung und habe Angst gehabt, diesen behördlichen Druck psy- chisch nicht aushalten zu können und diesem deshalb schliesslich nach- geben zu müssen, weshalb er sich zur Ausreise entschlossen habe.</w:t>
      </w:r>
    </w:p>
    <w:p>
      <w:r>
        <w:rPr>
          <w:b/>
        </w:rPr>
        <w:t>E. 6.1</w:t>
      </w:r>
    </w:p>
    <w:p>
      <w:r>
        <w:t>Das Bundesverwaltungsgericht gelangt nach Prüfung der Akten zum Schluss, dass das SEM das Asylgesuch des Beschwerdeführers zu Recht abgewiesen hat. Zur Vermeidung von Wiederholungen kann vorab auf die zutreffenden Ausführungen in der angefochtenen Verfügung verwiesen werden.</w:t>
      </w:r>
    </w:p>
    <w:p>
      <w:r>
        <w:rPr>
          <w:b/>
        </w:rPr>
        <w:t>E. 6.2</w:t>
      </w:r>
    </w:p>
    <w:p>
      <w:r>
        <w:t>Soweit in der Beschwerde erstmals vorgebracht wird, die vom Be- schwerdeführer erlebten Bedrohungen seien von «zivilen Polizisten» aus- gegangen, vermag dies nicht zu überzeugen. Nachdem der Beschwerde- führer in der Anhörung von «unbekannten Zivilpersonen», die er «noch nie gesehen» habe, gesprochen hat (vgl. SEM-Akte […], F 61), ist es nicht ausreichend, lediglich auf ein terminologisches Missverständnis zu verwei- sen, ohne dies weiter zu substantiieren und namentlich darzulegen, wo- raus sich diese Erkenntnis bezüglich der Identität der fraglichen Drittperso- nen ergibt. Die Beschwerde enthält indessen – nachdem bereits die ent- sprechenden Schilderungen in der Anhörung keine nennenswerten Detail- angaben enthalten – keinerlei weiteren diesbezüglichen Informationen. Hervorzuheben ist auch, dass der Beschwerdeführer auf die in der Anhö- rung gestellte Frage, weshalb er die Vorfälle nicht der Polizei gemeldet habe, nicht erwähnt hat, dass die Drohungen gerade von jener Behörde ausgegangen sein sollen; stattdessen hat er lediglich vorgebracht, dies hätte Mut gebraucht und seine kranke Mutter hätte sich nur noch mehr Sorgen gemacht (vgl. SEM-Akte […]). Der Vollständigkeit halber wird schliesslich darauf hingewiesen, dass der Beschwerdeführer noch eine dritte Definition bezüglich seiner Verfolger geliefert hat: In der Stellung- nahme zum Entscheidentwurf hatte er angegeben, es habe sich um «Zivil- personen» gehandelt, die für «den Staat gearbeitet» hätten, wobei er auch zu jenem Zeitpunkt nicht erklärte, worauf sich diese Erkenntnis stützte (vgl. SEM-Akte […]). Insgesamt sind die Vorbringen zur staatlichen beziehungs- weise polizeilichen Täterschaft deshalb als nachgeschobene Rechtferti- gung(en) einzustufen und vermögen nichts an der Einschätzung der Vo- rinstanz in Bezug auf die Bedrohungsvorfälle zu ändern, zumal sie auch gänzlich unsubstantiiert bleiben.</w:t>
      </w:r>
    </w:p>
    <w:p>
      <w:r>
        <w:t>D-5799/2023 Seite 8 Mit der in der Beschwerde enthaltenen Auflistung der Namen diverser Ver- wandten des Beschwerdeführers, die in der Schweiz Asyl erhalten hätten, als PKK-Märtyrer gestorben oder aus dem staatlichen Dienst entlassen worden seien, wird sodann sinngemäss das Vorliegen einer Reflexverfol- gung geltend gemacht. Dabei ist vorab darauf hinzuweisen, dass das blosse Aufzählen von Familienmitgliedern für sich genommen nicht geeig- net ist, automatisch zur Annahme einer Reflexverfolgung zu führen. Hinzu kommt im vorliegenden Fall, dass der Beschwerdeführer aufgrund seines im Jahr 2017 eröffneten Strafverfahrens selbst im Visier der Behörden und mithin ohne weiteres durch diese greifbar war, sich die Behörden jedoch – wie von der Vorinstanz zutreffend festgestellt (vgl. oben E. 5.1 und 6.1) – auf die Ergreifung von Massnahmen zu legitimen rechtsstaatlichen Zwe- cken beschränkt haben. Dies deutet entgegen den Beschwerdevorbringen gerade nicht darauf hin, dass die türkischen Behörden ein besonderes be- ziehungsweise asylrechtlich relevantes Verfolgungsinteresse in Bezug auf den Beschwerdeführer hätten. Diese Einschätzung wird durch die Tatsa- che bekräftigt, dass der Beschwerdeführer im Sommer 2023 legal mit dem Flugzeug und seinem eigenen Reisepass ausreisen konnte (vgl. SEM-Akte [...]). Nach dem Gesagten ist auch den Vorbringen zu den (vorzeitigen) Entlas- sungen von verschiedenen Arbeitsstellen sowie den Problemen mit Freun- den im Anschluss an die Eröffnung des Strafverfahrens im Jahr 2017 – unabhängig von deren Glaubhaftigkeit – schon mangels Intensität und Motivs im Sinne von Art. 3 AsylG die Asylrelevanz abzusprechen. Soweit der Beschwerdeführer angibt, fichiert zu sein, handelt es sich um eine nicht weiter substantiierte Parteibehauptung, die deshalb nicht geeignet ist, an der vorstehenden Einschätzung etwas zu ändern. Schliesslich führen auch die diversen eingereichten Beweismittel zu keinem anderen Ergebnis, zu- mal sie im Wesentlichen (lediglich) die Aussagen des Beschwerdeführers bestätigen.</w:t>
      </w:r>
    </w:p>
    <w:p>
      <w:r>
        <w:rPr>
          <w:b/>
        </w:rPr>
        <w:t>E. 6.3</w:t>
      </w:r>
    </w:p>
    <w:p>
      <w:r>
        <w:t>Das SEM hat somit zu Recht das Bestehen einer flüchtlingsrechtlich relevanten Verfolgung des Beschwerdeführers verneint und sein Asylge- such abgelehnt. Nach dem Gesagten besteht auch kein Anlass, die Verfü- gung zu weiteren Sachverhaltsabklärungen an die Vorinstanz zurückzu- weisen (vgl. Rechtsbegehren Nr. 2), zumal die Beschwerde keine weiteren diesbezüglichen Ausführungen enthält.</w:t>
      </w:r>
    </w:p>
    <w:p>
      <w:r>
        <w:t>D-5799/2023 Seite 9</w:t>
      </w:r>
    </w:p>
    <w:p>
      <w:r>
        <w:rPr>
          <w:b/>
        </w:rPr>
        <w:t>E. 7</w:t>
      </w:r>
    </w:p>
    <w:p>
      <w:r>
        <w:t>Gemäss Art. 44 AsylG verfügt das SEM in der Regel die Wegweisung aus der Schweiz und ordnet deren Vollzug an,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t>D-5799/2023 Seite 10</w:t>
      </w:r>
    </w:p>
    <w:p>
      <w:r>
        <w:rPr>
          <w:b/>
        </w:rPr>
        <w:t>E. 8.2.2</w:t>
      </w:r>
    </w:p>
    <w:p>
      <w:r>
        <w:t>Da es dem Beschwerdeführer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nicht der Fall. Schliesslich lässt auch die allgemeine Menschenrechtssituation im Heimat- staat den Wegweisungsvollzug zum heutigen Zeitpunkt nicht als unzuläs- sig erscheinen.</w:t>
      </w:r>
    </w:p>
    <w:p>
      <w:r>
        <w:rPr>
          <w:b/>
        </w:rPr>
        <w:t>E. 8.2.3</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 Diese Praxis berücksichtigt sowohl die Entwicklungen nach dem Putschversuch im Juli 2016 als auch das Wiederaufflammen des türkisch-kurdischen Konflikts sowie der bewaff- neten Auseinandersetzungen zwischen der PKK und staatlichen Sicher- heitskräften seit Juli 2015 in verschiedenen Provinzen im Südosten des</w:t>
      </w:r>
    </w:p>
    <w:p>
      <w:r>
        <w:t>D-5799/2023 Seite 11 Landes (im Einzelnen: Batman, Diyarbakir, Mardin, Siirt, Urfa und Van, an- ders als die Provinzen Hakkari und Sirnak, zu den Letzteren vgl. BVGE 2013/2 E. 9.6).</w:t>
      </w:r>
    </w:p>
    <w:p>
      <w:r>
        <w:rPr>
          <w:b/>
        </w:rPr>
        <w:t>E. 8.3.3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w:t>
      </w:r>
    </w:p>
    <w:p>
      <w:r>
        <w:rPr>
          <w:b/>
        </w:rPr>
        <w:t>E. 8.3.4</w:t>
      </w:r>
    </w:p>
    <w:p>
      <w:r>
        <w:t>Der Beschwerdeführer stammt aus der vom Erdbeben betroffenen Provinz Adiyaman. Im Rahmen seiner Anhörung gab er an, seine Mutter und sein älterer Bruder lebten nach wie vor an derselben Adresse in D._______ in der Provinz Adiyaman, an der er selbst von 2005–2020 mit ihnen zusammengelebt habe (vgl. SEM-Akte […]). Es ist also einerseits vorliegend davon auszugehen, dass der Beschwerdeführer grundsätzlich in die Provinz Adiyaman zurückkehren und sich dort niederlassen könnte. Andererseits hat der Beschwerdeführer gemäss eigenen Angaben von Mai oder Juni 2021 bis zu seiner Ausreise, also rund zwei Jahre, in verschie- denen Provinzen gelebt und gearbeitet, namentlich in E._______ bei sei- nem jüngeren Bruder und in Istanbul, was aufzeigt, dass er in seinem Hei- matland verschiedene Aufenthaltsalternativen hat (vgl. SEM-Akte […]).</w:t>
      </w:r>
    </w:p>
    <w:p>
      <w:r>
        <w:rPr>
          <w:b/>
        </w:rPr>
        <w:t>E. 8.3.5</w:t>
      </w:r>
    </w:p>
    <w:p>
      <w:r>
        <w:t>Der Beschwerdeführer verfügt zudem über Berufserfahrung als (…), als (…) sowie über eine abgeschlossene Ausbildung als (…); die Reise in die Schweiz konnte er so selbst finanzieren (vgl. SEM-Akte […]). In Bezug auf seinen Gesundheitszustand hat er angegeben, trotz seiner «psychi- schen Sorgen» aktuell nicht in eine Behandlung zu müssen (vgl. SEM-Akte […]). Es ist somit davon auszugehen, dass sich der Beschwerdeführer nach seiner Rückkehr in die Türkei dort in einer Lokalität seiner Wahl nie- derlassen und in sozialer und wirtschaftlicher Hinsicht ohne Weiteres wie- der integrieren kann.</w:t>
      </w:r>
    </w:p>
    <w:p>
      <w:r>
        <w:rPr>
          <w:b/>
        </w:rPr>
        <w:t>E. 8.3.6</w:t>
      </w:r>
    </w:p>
    <w:p>
      <w:r>
        <w:t>Der Vollzug der Wegweisung erweist sich nach dem Gesagten so- wohl in genereller als auch individueller Hinsicht als zumutbar.</w:t>
      </w:r>
    </w:p>
    <w:p>
      <w:r>
        <w:t>D-5799/2023 Seite 12</w:t>
      </w:r>
    </w:p>
    <w:p>
      <w:r>
        <w:rPr>
          <w:b/>
        </w:rPr>
        <w:t>E. 8.4</w:t>
      </w:r>
    </w:p>
    <w:p>
      <w:r>
        <w:t>Nachdem der Beschwerdeführer in Besitz einer gültigen türkischen Identitätskarte ist, ist der Vollzug auch als möglich gemäss Art. 83 Abs. 2 AIG zu bezeichnen.</w:t>
      </w:r>
    </w:p>
    <w:p>
      <w:r>
        <w:rPr>
          <w:b/>
        </w:rPr>
        <w:t>E. 8.5</w:t>
      </w:r>
    </w:p>
    <w:p>
      <w:r>
        <w:t>Die Vorinstanz hat den Vollzug demnach zu Recht als zulässig, zumut- bar und möglich erachtet.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(Art. 65 Abs. 2 VwVG).</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D-5799/2023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