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D-5789/2006 vom 20. Februar 2009</w:t>
      </w:r>
    </w:p>
    <w:p>
      <w:r>
        <w:t>Bundesverwaltungsgericht, 2009-02-20, DE</w:t>
      </w:r>
    </w:p>
    <w:p>
      <w:r>
        <w:rPr>
          <w:b/>
        </w:rPr>
        <w:t xml:space="preserve">Quelle: </w:t>
      </w:r>
      <w:r>
        <w:t>https://mcp.opencaselaw.ch/entscheid/bvger_D-5789_2006</w:t>
      </w:r>
    </w:p>
    <w:p>
      <w:r>
        <w:t>FR: TAF D-5789/2006 du 20 février 2009</w:t>
      </w:r>
    </w:p>
    <w:p>
      <w:r>
        <w:t>IT: TAF D-5789/2006 del 20 febbraio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(Art. 53 Abs. 2 VGG).</w:t>
      </w:r>
    </w:p>
    <w:p>
      <w:r>
        <w:rPr>
          <w:b/>
        </w:rPr>
        <w:t>E. 1.3</w:t>
      </w:r>
    </w:p>
    <w:p>
      <w:r>
        <w:t>Mit Beschwerde kann die Verletzung von Bundesrecht, die unrichtige oder unvollständige Feststellung des rechtserheblichen Sachverhalts und die Unangemessenheit gerügt werden (Art. 106 Abs.1 AsylG).</w:t>
      </w:r>
    </w:p>
    <w:p>
      <w:r>
        <w:rPr>
          <w:b/>
        </w:rPr>
        <w:t>E. 2</w:t>
      </w:r>
    </w:p>
    <w:p>
      <w:r>
        <w:t>Die Beschwerde ist form- und fristgerecht eingereicht. Die Beschwerdeführer sind durch die angefochtene Verfügung berührt und haben ein schutzwürdiges Interesse an deren Aufhebung beziehungsweise Änderung. Die Beschwerdeführer sind daher zur Einreichung der Beschwerde legitimiert (Art. 6 AsylG i.V.m. Art. 48 Abs. 1, sowie Art. 50 und 52 VwVG). Auf die Beschwerde ist einzutreten.</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Beschwerde wird ausgeführt, die Beschwerdeführer fürchteten sich gerade angesichts ihres gesundheitlichen Zustands verstärkt vor der erheblich schikanösen Behandlung durch Nationalisten in der Heimat. Davor würde sie niemand genügend beschützen. Es sei allgemein bekannt, dass dort Nationalisten in der von den Beschwerdeführern dargelegten Art gegen Roma vorgingen, ebenso, dass diese real kaum genügend Möglichkeiten hätten, dagegen wirksam vorzugehen. Damit sei ein genüglicher prima-facie-Beweis für eine konkrete Gefährdung erbracht. In casu sei der Sachverhalt ungenügend erstellt, zumal der Beschwerdeführer wegen der beigebrachten Verletzung bei Dr. Med. (...) in Behandlung stehe und das BFM diesbezüglich nie einen Bericht eingeholt habe. Zudem seien die Beschwerdeführerin und ihre beiden Kinder vom Erlebten schwer traumatisiert (vgl. Beschwerde, S. 5).</w:t>
      </w:r>
    </w:p>
    <w:p>
      <w:r>
        <w:rPr>
          <w:b/>
        </w:rPr>
        <w:t>E. 4.2</w:t>
      </w:r>
    </w:p>
    <w:p>
      <w:r>
        <w:t>Der Beschwerdeführer hat anlässlich der Befragungen im erstinstanzlichen Verfahren nie erklärt, sich wegen der erlittenen Körperverletzung in der Schweiz in ärztliche Behandlung begeben zu haben. Diesbezüglich kann auf die zutreffenden Ausführungen in der Vernehmlassung des BFM verwiesen werden (vgl. Sachverhalt, Bst. G). Mithin erweist sich die in diesem Zusammenhang erhobene Rüge der unvollständigen und ungenügenden Erstellung des Sachverhalts als unbegründet, weshalb auch der daraus abgeleitete Eventualantrag auf Rückweisung des Verfahrens an die Vorinstanz zu weiteren Abklärungen und materieller Neubeurteilung abzuweisen ist. Auf die beiden im Beschwerdeverfahren eingereichten ärztlichen Berichte wird im Zusammenhang mit der Prüfung der Zumutbarkeit des Wegweisungsvollzugs (vgl. E. 6.4.2) einzugehen sein.</w:t>
      </w:r>
    </w:p>
    <w:p>
      <w:r>
        <w:rPr>
          <w:b/>
        </w:rPr>
        <w:t>E. 4.3</w:t>
      </w:r>
    </w:p>
    <w:p>
      <w:r>
        <w:t>Die weitere Überprüfung der Akten ergibt sodann, dass sich auch die Erwägungen in der angefochtenen Verfügung im Zusammenhang mit den geltend gemachten Schikanen und Misshandlungen als zutreffend erweisen (vgl. Sachverhalt, Bst. B). Zwar ist festzuhalten, dass die schweizerische Asylpraxis mit Bezug auf die Frage der flüchtlingsrechtlichen Relevanz nichtstaatlicher Verfolgung inzwischen von der Zurechenbarkeitstheorie - wonach die von einer asylsuchenden Person erlittenen Nachteile ihrem Heimat- oder Herkunftsstaat unmittelbar oder mittelbar in einer Weise zugerechnet werden konnten, wenn dieser dafür zumindest mitverantwortlich erschien - zur Schutztheorie übergegangen ist (vgl. Entscheidungen und Mitteilungen der ARK [EMARK] 2006 Nr. 18). Gemäss der Schutztheorie, mithin aufgrund der grundsätzlichen Anerkennung der flüchtlingsrechtlichen Relevanz nichtstaatlicher Verfolgung, könnte die Flüchtlingseigenschaft nicht mit der Begründung verweigert werden, die von den Beschwerdeführern geltend gemachten Übergriffe in Serbien könnten nicht dem Staat zugerechnet werden, sondern es ist bei Bejahung solcher Nachteile seitens von Drittpersonen zu prüfen, ob der Betroffene auf dem Gebiet seines Heimatsstaats Schutz vor der Art von Verfolgung finden kann. Nach der Schutztheorie hängt die flüchtlingsrechtliche Relevanz einer Verfolgung somit nicht von der Frage ihres Urhebers ab, sondern vom Vorhandensein eines adäquaten Schutzes durch den Heimatstaat oder unter gewissen Umständen durch einen so genannten Quasi-Staat. In diesem Sinne kommt auch der Unterscheidung zwischen Schutzunwilligkeit und -unfähigkeit des Heimatstaats (beziehungsweise allenfalls eines Quasi-Staats) grundsätzlich keine entscheidende Bedeutung mehr zu. Nach der Schutztheorie ist nichtstaatliche Verfolgung flüchtlingsrechtlich relevant, sofern der Heimatstaat beziehungsweise allenfalls ein Quasi-Staat nicht in der Lage ist, adäquaten Schutz vor Verfolgung zu bieten. Diesbezüglich führte die Vorinstanz zutreffend aus, die vorgebrachten Verfolgungsmassnahmen stellten in Serbien strafbare Handlungen dar, welche von den zuständigen Strafverfolgungsbehörden verfolgt und geahndet würden. Nach dem Gesagten ist eine Schutzgewährung der Beschwerdeführer seitens der serbischen Behörden nicht zu verneinen, umso weniger, als die Beschwerdeführer auf eine Anzeige verzichtet haben. Mithin wurden die geltend gemachten Verfolgungsvorbringen durch die Vorinstanz zu Recht als asylrechtlich nicht relevant qualifiziert. Auch die Ausführungen in der Beschwerde sind nicht geeignet, an dieser Einschätzung etwas zu ändern.</w:t>
      </w:r>
    </w:p>
    <w:p>
      <w:r>
        <w:rPr>
          <w:b/>
        </w:rPr>
        <w:t>E. 4.4</w:t>
      </w:r>
    </w:p>
    <w:p>
      <w:r>
        <w:t>Nach dem Gesagten erweist sich die geltend gemachte Furcht vor Verfolgung als unbegründet. Aufgrund der vorstehenden Erwägungen erübrigt es sich, auf die weiteren Ausführungen in der Beschwerde und der Stellungnahme einzugehen, weil sie am Ergebnis nichts ändern können. Zusammenfassend ergibt sich, dass die Vorbringen der Beschwerdeführer den Anforderungen an die Flüchtlingseigenschaft nicht genügen. Die Asylgesuche wurden vom Bundesamt zu Recht abgewiesen.</w:t>
      </w:r>
    </w:p>
    <w:p>
      <w:r>
        <w:rPr>
          <w:b/>
        </w:rPr>
        <w:t>E. 5</w:t>
      </w:r>
    </w:p>
    <w:p>
      <w:r>
        <w:t>Lehnt das Bundesamt das Asylgesuch ab oder tritt es darauf nicht ein, so verfügt es in der Regel die Wegweisung aus der Schweiz und ordnet den Vollzug an; es berücksichtigt dabei den Grundsatz der Einheit der Familie (Art. 44 Abs. 1 AsylG). Die Beschwerdeführer verfügen weder über eine fremdenpolizeiliche Aufenthaltsbewilligung noch einen Anspruch auf Erteilung einer solchen. Die Wegweisung wurde demnach zu Recht angeordnet (Art. 44 Abs. 1 AsylG; vgl.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den Beschwerdeführern nicht gelungen ist, eine asylrechtlich erhebliche Gefährdung nachzuweisen oder glaubhaft zu machen, kann das in Art. 5 AsylG verankerte Prinzip des flüchtlingsrechtlichen Non-Refoulements im vorliegenden Verfahren keine Anwendung finden. Eine Rückkehr der Beschwerführer in ihren Heimatstaat ist demnach unter dem Aspekt von Art. 5 AsylG rechtmässig. Sodann ergeben sich weder aus den Aussagen der Beschwerdeführer noch aus den Akten Anhaltspunkte dafür, dass sie für den Fall einer Ausschaffung in ihren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Beschwerdeführer eine konkrete Gefahr ("real risk") nachweisen oder glaubhaft machen, dass ihnen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in ihrem Heimatstaat lässt den Wegweisungsvollzug zum heutigen Zeitpunkt klarerweise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6.4.1</w:t>
      </w:r>
    </w:p>
    <w:p>
      <w:r>
        <w:t>Angesichts der heutigen Lage in Serbien muss gemäss konstanter Praxis nicht von einer Situation allgemeiner Gewalt oder kriegerischen respektive bürgerkriegsähnlichen Verhältnissen gesprochen werden. Zwar können Übergriffe von Privatpersonen auf Roma und teilweise behördliche Schikanen sowie Diskriminierungen nicht völlig ausgeschlossen werden. Indes erreichen diese im Allgemeinen nicht ein Ausmass, das den Vollzug der Wegweisung in jedem Fall als unzumutbar erscheinen liesse. Somit ist die Rückkehr der Beschwerdeführer dorthin grundsätzlich zumutbar. Eine Situation, welche sie als de-facto-Flüchtlinge qualifizieren würde, lässt sich deshalb aufgrund der heutigen Situation in Serbien nicht bejahen.</w:t>
      </w:r>
    </w:p>
    <w:p>
      <w:r>
        <w:rPr>
          <w:b/>
        </w:rPr>
        <w:t>E. 6.4.2</w:t>
      </w:r>
    </w:p>
    <w:p>
      <w:r>
        <w:t>Es bleibt demnach zu prüfen, ob individuelle Gründe vorliegen, die eine Rückkehr der Beschwerdeführer in ihren Heimatstaat als unzumutbar erscheinen lassen. Vorab ist nicht in Abrede zu stellen, dass die Beschwerdeführer bei einer Rückkehr in ihren Heimatstaat mit gewissen - insbesondere wirtschaftlichen - Schwierigkeiten konfrontiert werden könnten. Indes ist in diesem Zusammenhang festzuhalten, dass die ARK sich wiederholt dahingehend geäussert hat, dass grundsätzlich "blosse" soziale und wirtschaftliche Schwierigkeiten, wie insbesondere der Mangel an Wohnung und Arbeitsplätzen, von welchen die ansässige Bevölkerung im Allgemeinen betroffen ist, keine existenzbedrohende Situation darstellten, welche den Wegweisungsvollzug von vornherein als unzumutbar erscheinen liesse (vgl. EMARK 1994 Nr. 19. E. 6b). Sodann stellen auch die gesundheitlichen Probleme der Beschwerdeführer keinen ausreichenden Grund dar, um den Vollzug der Wegweisung als unzumutbar erscheinen zu lassen. Gemäss dem ärztlichen Bericht vom (...) lautet die Diagnose in Bezug auf den Beschwerdeführer wie folgt: a) (...); b) (...) Der Beschwerdeführer wird medikamentös mit (...) behandelt, dazu kommen (...). Gemäss dem ärztlichen Bericht vom selben Datum lautet die Diagnose in Bezug auf die Beschwerdeführerin wie folgt: (...). Die Beschwerdeführerin wird medikamentös mit (...) behandelt, dazu kommen (...). Aus den Angaben in den erwähnten medizinischen Unterlagen lassen sich mithin keine verlässlichen Hinweise auf schwere psychische oder physische Leiden gewinnen, welche die Beschwerdeführer im Falle einer Rückkehr einer konkreten Gefahr aussetzen könnten. Es lässt sich nicht damit argumentieren, dass die Beschwerdeführer durch den Wegfall einer unerlässlichen medizinischen Behandlung im Falle einer Rückkehr in konkreter Weise in ihrer Existenz gefährdet würden. Unabhängig davon ist darauf hinzuweisen, dass in grösseren Städten wie namentlich in Novi Sad psychiatrische Abteilungen in Krankenhäusern bestehen und neben medikamentöser Behandlung punktuell auch Psychotherapie angeboten wird. Die Möglichkeit einer ethnisch bedingten Diskriminierung beim Zugang zu einer Behandlung erscheint vorliegend nicht aktuell. Eine allfällige Fortsetzung der in der Schweiz durchgeführten medikamentösen Behandlungen liesse sich auf dem Weg einer zu beantragenden individuellen medizinischen Rückkehrhilfe sicherstellen (vgl. Art. 75 der Asylverordnung vom 11. August 1999 über Finanzierungsfragen (AsylV 2, SR 142.312). Schliesslich sind die Eltern des Beschwerdeführers nach wie vor im Heimatstaat wohnhaft. Sie besitzen (...). Der Beschwerdeführer verfügt über Erwerbserfahrung (...). Somit ist insgesamt davon auszugehen, dass sich die Beschwerdeführer nach ihrer Rückkehr in ihren Heimatstaat erneut eine Existenz aufbauen können. Aufgrund der Aktenlage ist deshalb insgesamt trotz der nicht einfachen Verhältnisse im Heimatstaat der Beschwerdeführer nicht davon auszugehen, dass diese in eine existenzbedrohende Situation geraten würden.</w:t>
      </w:r>
    </w:p>
    <w:p>
      <w:r>
        <w:rPr>
          <w:b/>
        </w:rPr>
        <w:t>E. 6.4.3</w:t>
      </w:r>
    </w:p>
    <w:p>
      <w:r>
        <w:t>Nach dem Gesagten ist der Vollzug der Wegweisung somit auch als zumutbar zu bezeichnen.</w:t>
      </w:r>
    </w:p>
    <w:p>
      <w:r>
        <w:rPr>
          <w:b/>
        </w:rPr>
        <w:t>E. 6.5</w:t>
      </w:r>
    </w:p>
    <w:p>
      <w:r>
        <w:t>Schliesslich obliegt es den Beschwerdeführern, sich bei der zuständigen Vertretung ihres Heimatstaates die für eine Rückkehr notwendigen Reisedokumente zu beschaffen (Art. 8 Abs. 4 AsylG), weshalb der Vollzug der Wegweisung auch als möglich zu bezeichnen ist (Art. 83 Abs. 2 AuG).</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den Beschwerdeführern aufzuerlegen (Art. 63 Abs. 1 und 5 VwVG) und auf insgesamt Fr. 600.-- festzusetzen (Art. 1-3 des Reglements vom 21. Februar 2008 über die Kosten und Entschädigungen vor dem Bundesverwaltungsgericht [VGKE, SR 173.320.2]) und mit dem am 12. Juni 2006 in gleicher Höhe geleisteten Kostenvorschuss zu verrechnen. Durch die Bezahlung des Kostenvorschusses ist das nachträgliche Gesuch um Erlass desselben gegenstandslos geworden, weshalb darüber nicht mehr zu befinden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