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D-5783/2014 vom 11. Februar 2015</w:t>
      </w:r>
    </w:p>
    <w:p>
      <w:r>
        <w:t>Bundesverwaltungsgericht, 2015-02-11, DE</w:t>
      </w:r>
    </w:p>
    <w:p>
      <w:r>
        <w:rPr>
          <w:b/>
        </w:rPr>
        <w:t xml:space="preserve">Quelle: </w:t>
      </w:r>
      <w:r>
        <w:t>https://mcp.opencaselaw.ch/entscheid/bvger_D-5783_2014</w:t>
      </w:r>
    </w:p>
    <w:p>
      <w:r>
        <w:t>FR: TAF D-5783/2014 du 11 février 2015</w:t>
      </w:r>
    </w:p>
    <w:p>
      <w:r>
        <w:t>IT: TAF D-5783/2014 del 11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Art. 48 Abs. 1 sowie Art. 52 Abs. 1 VwVG). Auf die Beschwerde ist einzutreten.</w:t>
      </w:r>
    </w:p>
    <w:p>
      <w:r>
        <w:rPr>
          <w:b/>
        </w:rPr>
        <w:t>E. 2</w:t>
      </w:r>
    </w:p>
    <w:p>
      <w:r>
        <w:t>Mit Beschwerde im Geltungsbereich des AsylG kann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Urteil des BVGer D-3622/2011 vom 8. Oktober 2014 E. 5, zur Publikation vorgesehen).</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w:t>
      </w:r>
    </w:p>
    <w:p>
      <w:r>
        <w:t>In der Beschwerde wird in verfahrensrechtlicher Hinsicht geltend gemacht, das BFM habe die Untersuchungsmaxime verletzt, da es der Beschwerdeführerin bezüglich der Tötung ihres Onkels durch die Regierung keine Fragen gestellt habe. Dazu ist festzuhalten, dass die Asyl­be­hörde den Sachverhalt gemäss Art. 6 AsylG i.V.m. Art. 12 VwVG zwar von Amtes wegen feststellt, die Untersuchungspflicht der Behörden jedoch ihre Grenzen an der Mitwirkungspflicht eines Gesuchstellers findet (vgl. Art. 8 AsylG), der auch die Substanziierungslast trägt (vgl. Art. 7 AsylG). Vorliegend bestand beziehungsweise besteht mangels vorgebrachter Anhaltspunkte bezüglich einer Gefähr­dung der Beschwerdeführerin, die im Zusammenhang mit ihrem ermordeten Onkel stehen würde, offensichtlich keine Veranlassung, die Umstände seiner Tötung im Jahr 2004 genauer abzuklären. Es kann daher keine Verletzung der Untersuchungspflicht durch das BFM festgestellt werden. Im Übrigen hätte die vertretene Beschwerdeführerin die Umstände der Tötung ihres Onkels in der Beschwerdeschrift darlegen können, wenn sie diese tatsächlich für relevant gehalten hätte. Sie begnügte sich aber damit, kommentarlos eine Todesurkunde einzureichen, die aufgrund des Namens den Onkel und nicht - wie in der Beschwerde unter dem Titel "Unzumutbarkeit des Wegweisungsvollzugs" vorgebracht - ihren Vater betreffen dürfte und als Todesursache "er­schos­sen von Räubern" eingetragen ist. Nach dem Gesagten besteht keine Veranlassung die angefochtene Verfügung zu kassieren beziehungsweise weitere Abklärungen vorzunehmen.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gelangt nach Prüfung der Akten - wie bereits das BFM - zum Schluss, dass die Vorbringen der Beschwerdeführerin bezüglich ihrer Ausreisegründe den Anforderungen an die Glaubhaftigkeit gemäss Art. 7 AsylG nicht standzuhalten vermögen. Ihre Mitgliedschaft bei der Qeerroo und somit auch die angeblich daraus resultierende Gefährdung erachtet das Gericht bereits deshalb als unglaubhaft, weil die Beschwerdeführerin dieser Jugendbewegung eigenen Angaben zufolge (...) beigetreten sein will (A 5/15 S. 10 und Beschwerdeschrift S. 3, Schreiben der UOSG vom 21. Juni 2014; vgl. auch A 25/24 F135 und S. 22), die Qeerroo gemäss allgemein zugänglichen Quellen jedoch (...) gegründet wurde (vgl. beispielsweise [...], abgerufen am 5. Januar 2015). Hinzu kommen die in der angefochtenen Verfügung zu Recht dargelegten Unglaubhaftigkeits­ele­mente (vgl. Bst. B.b.a vorstehend). Die Beschwerdevorbringen sind nicht geeignet, eine Änderung der vorinstanzlichen Einschätzung zu bewirken. So vermag beispiels­weise das Beschwerdevorbringen, es handle sich bei der Qeerroo, entgegen der Interpretation der Vorinstanz, nicht um eine organisierte politische Partei, sondern um eine Jugendbewegung, die vagen und ausweichenden Antworten der Beschwerdeführerin auf die ihr gestellten Fragen im Zusammenhang mit der Qeerroo nicht plausibel zu erklären. Des Weiteren ist insbesondere festzuhalten, dass dem Protokoll der BzP keine Anhaltspunkte dafür zu entnehmen sind, dass die Beschwerdeführerin un­ter Druck gesetzt worden sein soll, die ganze Befragung geweint und keine Zeit erhalten haben soll, weitere Ausführungen zu machen. Im Ge­gen­teil ergibt sich aus dem Protokoll, dass die befragende Person die Beschwerdeführerin wiederholt nach ihren Problemen respektive allfällig erlittenen Nachteilen in Äthiopien gefragt hat (vgl. A 5/15 S. 10 f.). Die Beschwerdeführerin hat dieses Protokoll (wie auch jenes der Anhörung) nach dessen Rückübersetzung unterzeichnet und mit ihrer Unterschrift bestätigt, dass der Wortlaut mit ihren Aussagen übereinstimme (A 5/15 S. 12; A 25/24 S. 23). Sie muss sich ihre Aussagen daher - so wie sie protokolliert wurden - entgegenhalten lassen, zumal sie die übersetzenden Personen gut verstanden haben will (A 5/15 S. 2 und 12; A 25/24 F1). Der klare Wortlaut der Protokolle spricht denn auch gegen die Ansicht ihres Rechtsvertreters, dass sich ihre Schilderung anlässlich der BzP mit der Sachverhaltsschilderung an der Anhörung in Einklang bringen lasse.</w:t>
      </w:r>
    </w:p>
    <w:p>
      <w:r>
        <w:rPr>
          <w:b/>
        </w:rPr>
        <w:t>E. 6.2</w:t>
      </w:r>
    </w:p>
    <w:p>
      <w:r>
        <w:t>Nach dem Gesagten - und ohne dass noch weitere Unglaubhaftigkeitselemente aufzuzeigen sind - kann der Beschwer­de­führerin nicht geglaubt werden, dass sie im Zeitpunkt ihrer Ausreise aus Äthiopien einer asylrelevanten Verfolgung ausgesetzt war beziehungsweise sich vor einer solchen fürchtete. An dieser Einschätzung vermögen auch die weiteren Vorbringen in der Beschwerde wie auch diejenigen in der Eingabe vom 30. Ok­to­ber 2014, insbesondere die generellen Ausführungen im Zusammenhang mit der Unterdrückung der Oromo, nichts zu ändern. Das eingereichte Bestätigungsschreiben der Oromo Community of Switzerland vom 14. Juli 2014 ist sodann als Gefälligkeitsschreiben zu qualifizieren, zumal nicht ersichtlich ist, woher der Verfasser dieses Schreibens wissen will, dass die Beschwerdeführerin von Leuten des Geheimdienstes brutal misshandelt worden sein soll und diese Erklärung im Übrigen in den Protokollen bei den Akten keine Stütze findet.</w:t>
      </w:r>
    </w:p>
    <w:p>
      <w:r>
        <w:rPr>
          <w:b/>
        </w:rPr>
        <w:t>E. 7.1</w:t>
      </w:r>
    </w:p>
    <w:p>
      <w:r>
        <w:t>Im Folgenden ist zu prüfen, ob die Beschwerdeführerin aufgrund ihrer exilpolitischen Tätigkeiten die Flüchtlingseigenschaft erfüllt.</w:t>
      </w:r>
    </w:p>
    <w:p>
      <w:r>
        <w:rPr>
          <w:b/>
        </w:rPr>
        <w:t>E. 7.2</w:t>
      </w:r>
    </w:p>
    <w:p>
      <w:r>
        <w:t>Gemäss gefestigter Rechtsprechung des Bundesverwaltungsgerichts ist zwar davon auszugehen, dass die äthiopischen Sicherheitsbehörden die Aktivitäten der jeweiligen Exilgemeinschaften im Rahmen ihrer (beschränkten) Möglichkeiten überwachen und mittels elektronischer Datenbanken registrieren.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der betreffenden Person und deren kon­krete exilpolitische Tätigkeit. Die äthiopischen Behörden haben nur dann ein Interesse an der Identifizierung einer Person, wenn deren Aktivitäten als konkrete Bedrohung für das politische System wahrgenommen werden. Dies setzt voraus, dass die betreffende Person eine exilpolitische Exponierung aufweist, welche sie in den Fokus der Behörden rückt (vgl. Urteil des BVGer D-3165/2014 vom 18. Dezember 2014 E. 6.3.2 m.w.H.). Der blosse Hinweis darauf, dass die heimatlichen Behörden regimekritische Personen im Ausland beobachten, reicht somit noch nicht aus, um eine begründete Verfolgungsfurcht glaubhaft zu machen (vgl. Urteil des BVGer E-5342/2013 vom 14. April 2014 E. 5.2.5).</w:t>
      </w:r>
    </w:p>
    <w:p>
      <w:r>
        <w:rPr>
          <w:b/>
        </w:rPr>
        <w:t>E. 7.3</w:t>
      </w:r>
    </w:p>
    <w:p>
      <w:r>
        <w:t>Nach Prüfung der Akten durch das Gericht ist festzustellen, dass aus den Vorbringen der Beschwerdeführerin zu ihrem exilpolitischen Engagement sowie den eingereichten Fotografien und Bestätigungsschreiben kein herausragendes Profil abgeleitet werden kann. Zur Vermeidung von Wiederholungen kann im Übrigen auf die diesbezüglichen Erwägungen in der angefochtenen Verfügung verwiesen werden (vgl. Bst. B.b.b vorstehend). Die generellen Ausführungen in der Beschwerde zu den Überwachungsmassnahmen durch die äthiopischen Behörden sind angesichts der vorstehenden Erwägung nicht geeignet, eine Änderung der vor­in­stanz­lichen Einschätzung zu bewirken. Ein weitergehendes exilpolitisches Engagement als dasjenige, das im vor­instanzlichen Verfahren vorgebracht wurde, wird in der Beschwerde sodann nicht (substanziiert) geltend gemacht.</w:t>
      </w:r>
    </w:p>
    <w:p>
      <w:r>
        <w:rPr>
          <w:b/>
        </w:rPr>
        <w:t>E. 8</w:t>
      </w:r>
    </w:p>
    <w:p>
      <w:r>
        <w:t>Zusammenfassend ist festzustellen, dass das BFM die Flüchtlingseigenschaft der Beschwerdeführerin zu Recht verneint und ihr Asylgesuch abgelehnt hat.</w:t>
      </w:r>
    </w:p>
    <w:p>
      <w:r>
        <w:rPr>
          <w:b/>
        </w:rPr>
        <w:t>E. 9.1</w:t>
      </w:r>
    </w:p>
    <w:p>
      <w:r>
        <w:t>Lehnt das BFM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BFM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Gemäss der immer noch zutreffenden Lageanalyse in BVGE 2011/25 ist der Wegweisungsvollzug nach Äthiopien grundsätzlich zumutbar (a.a.O. E. 8.3). Aufgrund der schwierigen sozioökonomischen Situation ist bei alleinstehenden Frauen die Zumutbarkeit in Abweichung von diesem Grundsatz jedoch nur anzunehmen, wenn begünstigende Faktoren vorliegen, welche ihr eine soziale und wirtschaftliche Eingliederung in der Heimat ermöglichen (a.a.O. E. 8.5 S). Im Falle der Beschwerdeführerin geht das Gericht angesichts der persönlichen Voraussetzungen - nach Prüfung der Akten - davon aus, dass begünstigende Faktoren vorliegen und es ihr möglich und zumutbar ist, sich sowohl sozial als auch wirtschaftlich in ihrem Heimatland wieder zu integrieren. Es kann auf die diesbezüglichen Ausführungen in der angefochtenen Verfügung verwiesen werden (vgl. Bst. B.b.c vorstehend). Die unsubstanziierten Beschwerdevorbringen ver­mögen die Erwägungen der Vorin­stanz nicht zu entkräften. Das gilt insbesondere für die begründeten Annahmen des BFM, dass die Beschwerdeführerin aufgrund ihrer Ausbildung die Möglichkeit haben wird, in Äthiopien eine bezahlte Berufstätigkeit (ohne gesundheitliche Risiken) aufzunehmen und ihr die C._______ respektive ehemalige Mitschüler zumindest ein soziales Netzwerk bieten sowie den Zugang zu Informationen ermöglichen wird beziehungsweise werden. Nach dem Gesagten erweist sich der Vollzug der Wegweisung auch als zumutbar.</w:t>
      </w:r>
    </w:p>
    <w:p>
      <w:r>
        <w:rPr>
          <w:b/>
        </w:rPr>
        <w:t>E. 10.4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auch sonst nicht zu beanstanden ist. Die Beschwerde ist abzuweisen.</w:t>
      </w:r>
    </w:p>
    <w:p>
      <w:r>
        <w:rPr>
          <w:b/>
        </w:rPr>
        <w:t>E. 12.1</w:t>
      </w:r>
    </w:p>
    <w:p>
      <w:r>
        <w:t>Die Gesuche um Gewährung der unentgeltlichen Rechtspflege im Sinne von Art. 65 Abs. 1 VwVG und um amtliche Verbeiständung im Sinne von Art. 110a Abs. 1 Bst. a AsylG sowie um Erlass des Kostenvorschusses wurden mit Zwischenverfügung vom 15. Oktober 2014 abgewiesen (vgl. Bst. D. vorstehend). Mit Eingabe vom 30. Oktober 2014 wurde ein Gesuch um wiedererwägungsweise Aufhebung der Zwischenverfügung vom 15. Oktober 2014 gestellt (vgl. Bst. F. vorstehend). Diese Eingabe ist allerdings offensichtlich nicht geeignet, in Bezug auf die Aussichtslosigkeit der Beschwer­de zu einer anderen Einschätzung zu gelangen, zumal sie sich lediglich zu einem vom BFM aufgezeigten Unglaubhaftigkeitselement in den Aussagen der Beschwerdeführerin äussert. Die wiedererwägungsweise gestellten Gesuche um unentgeltliche Rechts­pflege im Sinne von Art. 65 Abs. 1 VwVG und um amtliche Verbeiständung im Sinne von Art. 110a Abs. 1 Bst. a AsylG sind daher abzuweisen. Das wiedererwägungsweise Gesuch um Verzicht auf die Erhebung eines Kostenvorschusses ist sodann mit Bezahlung desselben am 21. Oktober 2014 gegenstandslos geworden.</w:t>
      </w:r>
    </w:p>
    <w:p>
      <w:r>
        <w:rPr>
          <w:b/>
        </w:rPr>
        <w:t>E. 12.2</w:t>
      </w:r>
    </w:p>
    <w:p>
      <w:r>
        <w:t>Bei diesem Ausgang des Verfahrens sind die Kosten von Fr. 600.- (Art. 1-3 des Reglements vom 21. Februar 2008 über die Kosten und Entschädigungen vor dem Bundesverwaltungsgericht [VGKE, SR 173.320.2]) der Beschwerdeführerin aufzuerlegen (Art. 63 Abs. 1 und 5 VwVG). Der am 21. Oktober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