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D-5779/2023 vom 29. Februar 2024</w:t>
      </w:r>
    </w:p>
    <w:p>
      <w:r>
        <w:t>Bundesverwaltungsgericht, 2024-02-29, DE</w:t>
      </w:r>
    </w:p>
    <w:p>
      <w:r>
        <w:rPr>
          <w:b/>
        </w:rPr>
        <w:t xml:space="preserve">Quelle: </w:t>
      </w:r>
      <w:r>
        <w:t>https://mcp.opencaselaw.ch/entscheid/bvger_D-5779_2023</w:t>
      </w:r>
    </w:p>
    <w:p>
      <w:r>
        <w:t>FR: TAF D-5779/2023 du 29 février 2024</w:t>
      </w:r>
    </w:p>
    <w:p>
      <w:r>
        <w:t>IT: TAF D-5779/2023 del 29 febbraio 2024</w:t>
      </w:r>
    </w:p>
    <w:p>
      <w:pPr>
        <w:pStyle w:val="Heading2"/>
      </w:pPr>
      <w:r>
        <w:t>Regeste</w:t>
      </w:r>
    </w:p>
    <w:p>
      <w:r>
        <w:t>Datenschutz</w:t>
      </w:r>
    </w:p>
    <w:p>
      <w:pPr>
        <w:pStyle w:val="Heading2"/>
      </w:pPr>
      <w:r>
        <w:t>Erwägungen</w:t>
      </w:r>
    </w:p>
    <w:p>
      <w:r>
        <w:rPr>
          <w:b/>
        </w:rPr>
        <w:t>E. 1.1</w:t>
      </w:r>
    </w:p>
    <w:p>
      <w:r>
        <w:t>Beim angefochtenen Entscheid betreffend ZEMIS-Eintragung (Dispo- sitivziffer 6) handelt es sich um eine Verfügung im Sinne von Art. 5 VwVG, die vom SEM als Vorinstanz im Sinne von Art. 33 Bst. d VGG erlassen wurde. Da keine Ausnahme gemäss Art. 32 VGG vorliegt, ist das Bundes- verwaltungsgericht zur Beurteilung der Beschwerde zuständig (Art. 31 VGG). Auf dem Gebiet des Datenschutzes ist – im Gegensatz zu demjeni- gen des Asyls (Art. 105 AsylG; Art. 83 Bst. d Ziff. 1 BGG) – die Beschwerde an das Bundesgericht möglich.</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frist- und formgerecht eingereichte Beschwerde (Art. 37 VGG i.V.m. Art. 50 Abs. 1 und Art. 52 VwVG) ist einzutreten.</w:t>
      </w:r>
    </w:p>
    <w:p>
      <w:r>
        <w:rPr>
          <w:b/>
        </w:rPr>
        <w:t>E. 1.4</w:t>
      </w:r>
    </w:p>
    <w:p>
      <w:r>
        <w:t>Im Übrigen sind die weiteren Dispositivziffern der angefochtenen Ver- fügung mit Ablauf der Rechtsmittelfrist in Rechtskraft erwachsen.</w:t>
      </w:r>
    </w:p>
    <w:p>
      <w:r>
        <w:rPr>
          <w:b/>
        </w:rPr>
        <w:t>E. 2</w:t>
      </w:r>
    </w:p>
    <w:p>
      <w:r>
        <w:t>Das Bundesverwaltungsgericht entscheidet auf dem Gebiet der Berichti- gung von Personendaten im ZEMIS mit uneingeschränkter Kognition (Art. 37 VGG i.V.m. Art. 49 VwVG).</w:t>
      </w:r>
    </w:p>
    <w:p>
      <w:r>
        <w:rPr>
          <w:b/>
        </w:rPr>
        <w:t>E. 3.1</w:t>
      </w:r>
    </w:p>
    <w:p>
      <w:r>
        <w:t>Am 1. September 2023 ist eine Totalrevision des Bundesgesetzes über den Datenschutz (DSG, SR 235.1) in Kraft getreten (AS 2022 491). Die an- gefochtene Verfügung datiert vom 22. September 2023 und für das vorlie- gende Beschwerdeverfahren gilt folglich das neue Recht (vgl. Art. 70</w:t>
      </w:r>
    </w:p>
    <w:p>
      <w:r>
        <w:t>D-5779/2023 Seite 5 DSG). Da die für Beschwerdeverfahren betreffend Datenänderung im ZEMIS wesentlichen Bestimmungen inhaltlich gleichgeblieben sind, kann auch unter der Geltung des revidierten DSG auf die bisherige Rechtspre- chung verwiesen werden.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w:t>
      </w:r>
    </w:p>
    <w:p>
      <w:r>
        <w:t>D-5779/2023 Seite 6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t>D-5779/2023 Seite 7</w:t>
      </w:r>
    </w:p>
    <w:p>
      <w:r>
        <w:rPr>
          <w:b/>
        </w:rPr>
        <w:t>E. 4.1</w:t>
      </w:r>
    </w:p>
    <w:p>
      <w:r>
        <w:t>Anders als im Asylverfahren, in dem das Geburtsdatum – der allgemei- nen asylrechtlichen Beweisregel folgend – von der asylsuchenden Person zumindest glaubhaft zu machen ist, verhält es sich im datenschutzrechtli- 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2005) korrekt ist. Der Beschwerdeführer wiederum hat nachzuweisen, dass das von ihm geltend gemachte Geburtsdatum ([…] 2006) richtig beziehungsweise zu- mindest wahrscheinlicher ist als das im ZEMIS erfasste, ihm mithin eine höhere Glaubwürdigkeit zukommt als dem Eintrag (vgl. Urteil des BVGer A-3051/2018 vom 12. März 2019 E. 5.5). Gelingt keiner Partei der sichere Nachweis, ist dasjenige Geburtsdatum im ZEMIS zu belassen oder einzu- tragen, dessen Richtigkeit wahrscheinlicher ist.</w:t>
      </w:r>
    </w:p>
    <w:p>
      <w:r>
        <w:rPr>
          <w:b/>
        </w:rPr>
        <w:t>E. 5.1</w:t>
      </w:r>
    </w:p>
    <w:p>
      <w:r>
        <w:t>In der Beschwerde werden formelle Rügen erhoben, die vorab zu be- handeln sind, da sie zu einer Kassation führen können. Der Beschwerde- führer wirft der Vorinstanz vor, sie habe den Untersuchungsgrundsatz ver- letzt, indem sie es unterlassen habe, im Sinne des Kindeswohls von Amtes wegen alle zumutbaren und sachdienlichen Abklärungen zu veranlassen. Sie habe kein Altersgutachten erstellen lassen und damit den Sachverhalt in Bezug auf die Minderjährigkeit des Beschwerdeführers nicht richtig fest- gestellt.</w:t>
      </w:r>
    </w:p>
    <w:p>
      <w:r>
        <w:rPr>
          <w:b/>
        </w:rPr>
        <w:t>E. 5.2</w:t>
      </w:r>
    </w:p>
    <w:p>
      <w:r>
        <w:t>Das SEM erachtete in der angefochtenen Verfügung mit Blick auf das Asylverfahren die behauptete Minderjährigkeit als nicht glaubhaft, weil sich seine Erklärung für das zunächst angegebene Geburtsdatum vom 5. No- vember 2007 nicht mit den vorliegenden Dokumenten decke. Auf dem Per- sonalienblatt sei kein Alter, sondern ein Geburtsdatum verzeichnet und die- ses entspreche nicht der Angabe von (…). Die Erklärungsversuche des Beschwerdeführers, bei der Einreise müde gewesen zu sein, lediglich drei Jahre die Schule besucht zu haben und sich mit Daten nicht auszukennen, würden angesichts der Tatsache, dass er von seinem siebzehnten Ge- burtstag am Tag der Befragungen (18. August 2023) gewusst habe, nicht zu überzeugen. Zudem habe er eine weitere Diskrepanz mit der Angabe geschaffen, der das Personalienblatt ausfüllenden Person gesagt zu ha- ben, er sei im Jahr 2007 geboren (Alter: fünfzehn Jahre). Alsdann be-</w:t>
      </w:r>
    </w:p>
    <w:p>
      <w:r>
        <w:t>D-5779/2023 Seite 8 stünden hinsichtlich der Kopie der eingereichten Impfkarte unter anderem Widersprüche (betreffend den Namen der Mutter), auch wenn darauf sein Geburtsdatum vom (…) 2006 datiert sei. Die Rechtsvertretung habe die Minderjährigkeit als glaubhaft erachtet und zur Vermeidung eines unver- hältnismässigen Eingriffes beantragt, auf eine Altersabklärung zu verzich- ten. Die mit der Stellungnahme zum Entscheidentwurf eingegangenen Do- kumente seien als Nachweise für die Identität oder das Alter des Beschwer- deführers untauglich (Vorname und Tazkara Mutter, ältere Version der Tazkara und Militärdienstausweis des Vaters). Mit der Unterzeichnung des Personalienblattes trage der Beschwerdeführer die Verantwortung für die darin gemachten Angaben und bestätige deren Richtigkeit, auch wenn er es nicht selbständig ausgefüllt habe. Es sei zudem naheliegender nicht ein Geburtsdatum, das er nicht mit Sicherheit kenne, zu nennen, als ein auf Monat und Tag genau bestimmtes Darum aufzuführen. Mit drei Schuljahren habe er fundamentale Kenntnisse erworben und es könne entgegen der Behauptung des Beschwerdeführers diverse Gründe für eine Falschan- gabe des Geburtsdatums gegeben haben, auch wenn er in keinem ande- ren Land Kontakt zu Behörden gehabt habe oder keinen Grund für eine nicht wahrheitsgemässe Nennung sehe, zumal für Minderjährige im Asyl- verfahren in der Schweiz spezifische Regeln gelten würden und sie spezi- elle Betreuung und weitere Vorteile erhalten würden. Es stehe aufgrund der gesamten Beweislage fest, dass er sein Geburtsdatum bewusst abge- ändert habe, was darauf hindeutete, dass er seine Volljährigkeit verheimli- chen wollte.</w:t>
      </w:r>
    </w:p>
    <w:p>
      <w:r>
        <w:rPr>
          <w:b/>
        </w:rPr>
        <w:t>E. 5.3</w:t>
      </w:r>
    </w:p>
    <w:p>
      <w:r>
        <w:t>Dem wurde in der Beschwerde entgegengehalten, ohne weitere Abklä- rungen wie ein Altersgutachten komme der Gesamtwürdigung und den Aussagen des Beschwerdeführers im Rahmen der Anhörungen erhöhtes Gewicht zu. Er habe seine damalige Verfassung erklärt und ihm falle Lesen und Schreiben schwer. Dennoch habe er im Zeitpunkt des Ausfüllens des Personalienblattes (23. Juli 2023) gewusst, dass er (…) Jahre, elf Monate und fünf Tage alt gewesen sei und dies mangels genügender Kenntnisse der Umrechnung der für ihn schreibenden Person mitgeteilt. Diese habe es so verstanden, dass er am fünften Tag des elften Monates geboren sei und daher den (…) aufgeschrieben. Die schreibende Person habe alsdann das Jahr 2007 geschlussfolgert, weil der Beschwerdeführer ihr gesagt habe, (…) Jahre alt zu sein ([…]). So sei das Datum (…) 2007 auf dem Persona- lienblatt entstanden, welchem zudem nicht so viel Bedeutung zukommen dürfe, da der Beschwerdeführer es ohne Beisein einer Vertrauensperson ausgefüllt habe. Erst seitdem nach der Einreise erfolgten Telefongespräch mit seiner Mutter, kenne er das (korrekte) Geburtsdatum, woraufhin er dem</w:t>
      </w:r>
    </w:p>
    <w:p>
      <w:r>
        <w:t>D-5779/2023 Seite 9 SEM die Korrektur mitgeteilt und seinen Impfausweis eingereicht habe. Das Geburtsdatum vom (…) 2006 stimme damit überein, dass er am Tag des Ausfüllens des Personalienblattes am 23. Juli 2023 (…) alt gewesen sei. Es sei plausibel erklärt, wie es zum fehlerhaft ausgefüllten Personali- enblatt gekommen sei. Nachdem der Beschwerdeführer das Geburtsda- tum fast ein Jahr «nach oben» korrigiert habe, könne ihm die Vorinstanz auch keine Falschangabe zum Zweck der Erlangung einer «vorteilhafte- ren» Behandlung als Minderjähriger vorwerfen, da er beim Geburtsdatum des (…) 2006 früher volljährig werde, als bei jenem vom (…) 2007. Zudem bestünden hinsichtlich seiner Angaben weitere Indizien für die Glaubhaf- tigkeit der Minderjährigkeit (Schule bis zum zehnten Lebensjahr, alsdann sechs Jahre Arbeit in Auto-Werkstatt, (…) Jahre alt bei der Ausreise; Hin- tergrundgeschichte zum richtigen Namen der Mutter). Es sei nicht ersicht- lich, weshalb die Vor-instanz das festgelegte Geburtsdatum vom (…) 2005 als wahrscheinlicher erachte, zumal seine diesbezüglichen Ausführungen glaubhaft seien.</w:t>
      </w:r>
    </w:p>
    <w:p>
      <w:r>
        <w:rPr>
          <w:b/>
        </w:rPr>
        <w:t>E. 5.4</w:t>
      </w:r>
    </w:p>
    <w:p>
      <w:r>
        <w:t>In ihrer Vernehmlassung hielt die Vorinstanz an ihren bisherigen Aus- führungen fest und ergänzte hauptsächlich, die Erklärungen des Be- schwerdeführers zu den Angaben des Geburtsdatums würden isoliert be- trachtet zwar plausibel klingen, jedoch aufgrund der Aussagen in der Erst- befragung dennoch widersprüchlich bleiben.</w:t>
      </w:r>
    </w:p>
    <w:p>
      <w:r>
        <w:rPr>
          <w:b/>
        </w:rPr>
        <w:t>E. 5.5</w:t>
      </w:r>
    </w:p>
    <w:p>
      <w:r>
        <w:t>In der Replik wurde im Wesentlichen entgegnet, die Argumentation der Vorinstanz zur Änderung des Geburtsdatums, welche sich ohne weitere Abklärungen einzig auf das Aussageverhalten des Beschwerdeführers ab- stütze, überzeuge nicht.</w:t>
      </w:r>
    </w:p>
    <w:p>
      <w:r>
        <w:rPr>
          <w:b/>
        </w:rPr>
        <w:t>E. 6.1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 spruch auf rechtliches Gehör dient einerseits der Sachaufklärung und stellt andererseits ein persönlichkeitsbezogenes Mitwirkungsrecht der Parteien dar. Mit dem Gehörsanspruch korreliert die Pflicht der Behörden, die Vor- bringen des vom Entscheid in seiner Rechtsstellung Betroffenen tatsäch-</w:t>
      </w:r>
    </w:p>
    <w:p>
      <w:r>
        <w:t>D-5779/2023 Seite 10 lich zu hören, sorgfältig und ernsthaft zu prüfen und in der Entscheidfin- dung angemessen zu berücksichtigen (Art. 32 Abs. 1 VwVG). Das SEM hat den rechtserheblichen Sachverhalt richtig und vollständig abzuklären (Art. 12 VwVG) und hierzu alle für das Verfahren rechtlich relevanten Umstände zu ermitteln und ordnungsgemäss darüber Beweis zu führen. Dabei hat es auch nach Elementen zu forschen, die zugunsten der gesuchstellenden Person sprechen. Eine Notwendigkeit für über die Befragung hinausge- hende Abklärungen besteht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und 2015/10 E. 3.2).</w:t>
      </w:r>
    </w:p>
    <w:p>
      <w:r>
        <w:rPr>
          <w:b/>
        </w:rPr>
        <w:t>E. 6.2</w:t>
      </w:r>
    </w:p>
    <w:p>
      <w:r>
        <w:t>Gemäss den nachfolgenden Erwägungen ist festzustellen, dass die vo- rinstanzliche Verfügung den Anforderungen an die Pflicht zur vollständigen und korrekten Feststellung des rechtserheblichen Sachverhalts nicht zu genügen vermag. So hat die Vorinstanz den Sachverhalt nicht genügend abgeklärt, indem es nicht alle für die Glaubhaftigkeit nötigen Untersuchun- gen (beispielsweise ein Altersgutachten) veranlasst hat. Die bestehende Aktenlage erlaubt keine zuverlässige Beantwortung der Frage, welches Geburtsdatum ([…] 2005 oder […] 2006) richtig oder zumindest wahr- scheinlicher ist.</w:t>
      </w:r>
    </w:p>
    <w:p>
      <w:r>
        <w:rPr>
          <w:b/>
        </w:rPr>
        <w:t>E. 6.2.1</w:t>
      </w:r>
    </w:p>
    <w:p>
      <w:r>
        <w:t>Das Gericht hält es für plausibel, dass es beim Ausfüllen des Perso- nalienblattes für den jungen Beschwerdeführer zu Unklarheiten gekommen sein kann, zumal dieses ohne Dolmetscher und nur im Beisein von Sicher- heitspersonal ausgefüllt wird. Die Erklärung des Beschwerdeführers zum Zustandekommen des auf dem Personalienblatt notierten Geburtsdatums bei der Einreise erscheint nachvollziehbar. Eine gewisse Verwirrung ist nicht auszuschliessen, dass dieses infolge der Altersangabe mit Hilfe des Personals irrtümlich auf den (…) 2007 berechnet wurde (Altersangabe von […]). An dieser Einschätzung vermögen die Ausführungen der Vorinstanz in der Vernehmlassung nichts zu ändern, zumal sie eine (isolierte) Betrach- tung der Erklärung des Beschwerdeführers ebenfalls für plausibel erachtet (vgl. SEM-act. 5, S. 1 unten).</w:t>
      </w:r>
    </w:p>
    <w:p>
      <w:r>
        <w:rPr>
          <w:b/>
        </w:rPr>
        <w:t>E. 6.2.2</w:t>
      </w:r>
    </w:p>
    <w:p>
      <w:r>
        <w:t>Im Weiteren ist vorliegend nicht zu vernachlässigen, dass dem vor- instanzlichen Entscheid im Zusammenhang mit dem Asylverfahren zwar eine Glaubhaftigkeitsprüfung der Minderjährigkeit zu entnehmen ist, jedoch (unbestritten) mangels Asylrelevanz keine solche für die Asylvorbringen an sich. Die Glaubhaftigkeitsprüfung der Asylvorbringen kann in der Regel bei</w:t>
      </w:r>
    </w:p>
    <w:p>
      <w:r>
        <w:t>D-5779/2023 Seite 11 einer Gesamtwürdigung der Sache zusätzlich als Indiz für das Abwägen der Wahrscheinlichkeit des Geburtsdatums beigezogen werden. Eine wie vorliegend von der Vorinstanz festgestellte unglaubhafte Minderjährigkeit reicht in diesem Fall als Indiz allein nicht aus, um darauf schliessen zu kön- nen, dass das Datum vom (…) 2005 wahrscheinlicher ist, als das vom (…) 2006. Vor diesem Hintergrund hat die Vorinstanz im Zusammenhang mit dem ZEMIS zu Unrecht auf weitere Abklärungen zum Alter des Beschwer- deführers verzichtet, zumal entsprechende Abklärungen nicht nur einfach mittels Altersgutachten, sondern auch zeitnah hätten veranlasst werden können. Bei dieser Ausgangslage kann den Angaben auf dem Personali- enblatt nicht ein derart gewichtiger Stellenwert beigemessen werden, dass andere Indizien, die für oder gegen die Glaubhaftigkeit der Altersangaben sprechen, ganz ausser Acht gelassen oder nicht abgeklärt werden könn- ten.</w:t>
      </w:r>
    </w:p>
    <w:p>
      <w:r>
        <w:rPr>
          <w:b/>
        </w:rPr>
        <w:t>E. 7</w:t>
      </w:r>
    </w:p>
    <w:p>
      <w:r>
        <w:t>Nach dem Gesagten hat das SEM den Sachverhalt insgesamt nicht in rechtsgenüglicher Weise erstellt. Es hat das Geburtsdatum des Beschwer- deführers nicht in einem angemessenen Verfahren abgeklärt.</w:t>
      </w:r>
    </w:p>
    <w:p>
      <w:r>
        <w:rPr>
          <w:b/>
        </w:rPr>
        <w:t>E. 8.1</w:t>
      </w:r>
    </w:p>
    <w:p>
      <w:r>
        <w:t>Gemäss Art. 61 Abs. 1 VwVG entscheidet die Beschwerdeinstanz in der Sache selbst oder weist diese ausnahmsweise mit verbindlichen Wei- 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nicht in Frage.</w:t>
      </w:r>
    </w:p>
    <w:p>
      <w:r>
        <w:rPr>
          <w:b/>
        </w:rPr>
        <w:t>E. 9</w:t>
      </w:r>
    </w:p>
    <w:p>
      <w:r>
        <w:t>Die Beschwerde ist gutzuheissen. Die Dispositivziffer 6 der Verfügung vom 22. September 2023 ist aufzuheben und die Sache im Sinne obiger Aus- führungen an das SEM zurückzuweisen.</w:t>
      </w:r>
    </w:p>
    <w:p>
      <w:r>
        <w:t>D-5779/2023 Seite 12</w:t>
      </w:r>
    </w:p>
    <w:p>
      <w:r>
        <w:rPr>
          <w:b/>
        </w:rPr>
        <w:t>E. 10.1</w:t>
      </w:r>
    </w:p>
    <w:p>
      <w:r>
        <w:t>Bei diesem Ausgang des Verfahrens sind keine Kosten zu erheben (Art. 63 Abs. 1 und 2 VwVG). Damit wird die mit Zwischenverfügung vom 8. Dezember 2023 gewährte unentgeltliche Prozessführung nachträglich gegenstandslos.</w:t>
      </w:r>
    </w:p>
    <w:p>
      <w:r>
        <w:rPr>
          <w:b/>
        </w:rPr>
        <w:t>E. 10.2</w:t>
      </w:r>
    </w:p>
    <w:p>
      <w:r>
        <w:t>Dem vertretenen Beschwerdeführer ist angesichts seines Obsiegens in Anwendung von Art. 64 VwVG und Art. 7 des Reglements vom 21. Feb- ruar 2008 über die Kosten und Entschädigungen vor dem Bundesverwal- tungsgericht (VGKE, SR 173.320.2) eine Entschädigung für die ihm not- wendigerweise erwachsenen Parteikosten zuzusprechen. Entschädi- gungspflichtig ist nur der notwendige Aufwand. In der eingereichten Kos- tennote der Rechtsvertretung (act. 9, Beilage) wird ein Stundenansatz von Fr. 250.– und ein Aufwand von 9,5 Stunden geltend gemacht. Gestützt auf die in Betracht zu ziehenden Bemessungsfaktoren (Art. 9–13 VGKE) er- achtet das Bundesverwaltungsgericht einen Stundenansatz von Fr. 150.– als angemessen und angesichts der fehlenden Komplexität der Sache so- wie in Berücksichtigung der Aktenlage ist der zeitliche Aufwand auf 6,5 Stunden herabzusetzen. Damit ist die vom SEM zu entrichtende Parteient- schädigung auf rund Fr. 1’100.– (inklusive Auslagen) festzusetzen.</w:t>
      </w:r>
    </w:p>
    <w:p>
      <w:r>
        <w:t>(Dispositiv nächste Seite)</w:t>
      </w:r>
    </w:p>
    <w:p>
      <w:r>
        <w:t>D-5779/2023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