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D-5777/2014 vom 5. Dezember 2017</w:t>
      </w:r>
    </w:p>
    <w:p>
      <w:r>
        <w:t>Bundesverwaltungsgericht, 2017-12-05, DE</w:t>
      </w:r>
    </w:p>
    <w:p>
      <w:r>
        <w:rPr>
          <w:b/>
        </w:rPr>
        <w:t xml:space="preserve">Quelle: </w:t>
      </w:r>
      <w:r>
        <w:t>https://mcp.opencaselaw.ch/entscheid/bvger_D-5777_2014</w:t>
      </w:r>
    </w:p>
    <w:p>
      <w:r>
        <w:t>FR: TAF D-5777/2014 du 5 décembre 2017</w:t>
      </w:r>
    </w:p>
    <w:p>
      <w:r>
        <w:t>IT: TAF D-5777/2014 del 5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im Rahmen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den Antrag, es sei festzustellen, dass die Rechtswirkungen der vorläufigen Aufnahme im Falle der Aufhebung der angefochtenen Verfügung fortbestehen würden, ist zufolge Unzulässigkeit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bspw. Urteile des BVGer D-3362/2014 vom 20. September 2017, D-4736/2014 vom 14. August 2017, D-1948/2015 vom 19. April 2016, D-3280/2014 vom 16. März 2016). Die Beschwerdeführenden haben den negativen Asylentscheid und die damit verbundene Wegweisung angefochten. Die von der Vorinstanz angeordnete vorläufige Aufnahme kann somit erst mit der Ausfällung des vorliegenden letztinstanzlichen Urteils in Rechtskraft erwachsen.</w:t>
      </w:r>
    </w:p>
    <w:p>
      <w:r>
        <w:rPr>
          <w:b/>
        </w:rPr>
        <w:t>E. 3.2</w:t>
      </w:r>
    </w:p>
    <w:p>
      <w:r>
        <w:t>Auf den Eventualantrag um Feststellung der Unzulässigkeit des Wegweisungsvollzugs ist in Ermangelung eines schutzwürdigen Interesses ebenfalls nicht einzutreten. Gemäss konstanter Rechtsprechung sind die Wegweisungsvollzugshindernisse gemäss Art. 83 Abs. 1 AuG (SR 142.20) alternativer Natur (vgl. BVGE 2011/7 E. 8, 2009/51 E. 5.4). Sobald eine Bedingung (Unzulässigkeit, Unzumutbarkeit oder Unmöglichkeit) erfüllt ist, ist der Vollzug als undurchführbar zu betrachten und die weitere Anwesenheit der betroffenen Person in der Schweiz gemäss den Bestimmungen über die vorläufige Aufnahme zu regeln. Gegen eine allfällige Aufhebung der vorläufigen Aufnahme steht wiederum die Beschwerde an das Bundesverwaltungsgericht offen (Art. 112 AuG i.V.m. Art. 84 Abs. 2 AuG), wobei in jenem Verfahren sämtliche Vollzugshindernisse von Amtes wegen und nach Massgabe der dannzumal herrschenden Verhältnisse erneut zu prüfen sind. Im Übrigen würde eine vorläufige Aufnahme wegen Unzulässigkeit des Wegweisungsvollzugs, soweit nicht mit der Flüchtlingseigenschaft verbunden, keine andere Rechtsstellung bewirken als eine - wie vorliegend - wegen Unzumutbarkeit angeordnete vorläufige Aufnahme. Das Rechtsschutzinteresse der Beschwerdeführenden hinsichtlich der Prüfung zusätzlicher individueller Vollzugshindernisse ist folglich zu verneinen.</w:t>
      </w:r>
    </w:p>
    <w:p>
      <w:r>
        <w:rPr>
          <w:b/>
        </w:rPr>
        <w:t>E. 4.1</w:t>
      </w:r>
    </w:p>
    <w:p>
      <w:r>
        <w:t>Die verfahrensrechtlichen Rügen, wonach die Vorinstanz das rechtliche Gehör, die Begründungspflicht und die Pflicht zur richtigen und vollständigen Abklärung des rechtserheblichen Sachverhalts verletzt habe,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Die Beschwerdeführenden rügen, die Vorinstanz habe ihnen in die Akten A1 (Ausdruck E-Dossier), A8 (Beweismittelkuvert), A13 (medizinisches Attest), A14 (Beweismittelkuvert) und A19 (interner Antrag auf vorläufige Aufnahme) keine Einsicht gewährt. Diesbezüglich ist auf die Zwischenverfügung vom 15. August 2016 zu verweisen, in der bereits festgestellt wurde, dass hinsichtlich der Akte A19 keine Verletzung des Akteneinsichtsrechts vorliegt. Die Nichtexistenz der Akte A8 wurde vom SEM in seiner Vernehmlassung vom 29. Juli 2016 hinreichend erklärt (versehentliche Doppelaufführung [vgl. A14]). In die Akten A1 (Unterlagen zur Visumserteilung), A13 (Schreiben des Bruders der Beschwerdeführerin 2 [medizinisches Attest]) und A14 (Beweismittel-Kuvert [samt Inhalt]) wurde den Beschwerdeführenden am 15. August 2016 Einsicht gewährt und sie konnten dazu im Rahmen ihrer Replik vom 30. August 2016 Stellung nehmen, so dass - wenn überhaupt - keine Verletzung des Akteneinsichtsrechts beziehungsweise Gehörsverletzung (mehr) vorliegt.</w:t>
      </w:r>
    </w:p>
    <w:p>
      <w:r>
        <w:rPr>
          <w:b/>
        </w:rPr>
        <w:t>E. 4.4</w:t>
      </w:r>
    </w:p>
    <w:p>
      <w:r>
        <w:t>Bezüglich der Rüge, die Vorinstanz habe die eingereichten Beweismittel nicht gewürdigt, ist festzustellen, dass das BFM die betreffenden Dokumente entgegengenommen, in der Verfügung vom 5. September 2014 explizit erwähnt (vgl. S. 2 Ziffer 3) und bei der Einschätzung der Frage der Asylrelevanz der Fluchtvorbringen berücksichtigt hat (vgl. S. 4 Ziff. 1). Zudem ist hinsichtlich der Würdigung des Polizeirapports von September 2011 auch auf die Ausführungen in der Vernehmlassung der Vorinstanz vom 29. Juli 2016 zu verweisen (keine Infragestellung des Ereignisses, welches die Familienfehde ausgelöst habe). Eine Nichtbeachtung entscheidwesentlicher Beweismittel liegt damit nicht vor.</w:t>
      </w:r>
    </w:p>
    <w:p>
      <w:r>
        <w:rPr>
          <w:b/>
        </w:rPr>
        <w:t>E. 4.5</w:t>
      </w:r>
    </w:p>
    <w:p>
      <w:r>
        <w:t>Hinsichtlich des Einwands der Beschwerdeführenden, die Vorinstanz hätte die Akten hierzulande lebender Verwandter - insbesondere des Sohnes E._______, dessen Aussagen ihre Vorbringen zur Familienfehde stützen würden - beiziehen müssen, ist auf die Stellungnahme des SEM in seiner Vernehmlassung vom 29. Juli 2016 zu verweisen. Den Ausführungen lässt sich entnehmen, dass der entsprechende Beizug und die Prüfung eines Verfolgungszusammenhangs erfolgt sind und andere, nicht die Beschwerdeführenden betreffende Vorbringen zu den positiven Asylentscheiden für die Kinder E._______, G._______ und F._______ geführt haben. Im Übrigen ist auch bereits aus der angefochtenen Verfügung ersichtlich, dass die Akten des Sohnes E._______ beigezogen wurden, verweist die Vorinstanz darin doch explizit auf Aussagen von E._______ in dessen Asylverfahren (vgl. S. 3 Ziffer 1). Nur am Rande ist zu erwähnen, dass E._______ in seinem separaten Beschwerdeverfahren ebenfalls vom rubrizierten Rechtsanwalt vertreten worden ist und dieser somit zweifellos Kenntnis von dessen Verfahrensakten hatte.</w:t>
      </w:r>
    </w:p>
    <w:p>
      <w:r>
        <w:rPr>
          <w:b/>
        </w:rPr>
        <w:t>E. 4.6</w:t>
      </w:r>
    </w:p>
    <w:p>
      <w:r>
        <w:t>Auch die Rüge, die Vorinstanz habe die Pflicht zur Erstellung des rechtserheblichen Sachverhalts verletzt, indem sie einige Aussagen der Beschwerdeführenden nicht explizit erwähnt habe (vgl. Beschwerdeschrift vom 8. Oktober 2014 S. 5 und 9 ff.), geht fehl. Die Beschwerdeführenden konnten ihre Asylgründe im Rahmen der Befragungen und Anhörungen umfassend schildern. Zwar hat sich das BFM in der Verfügung vom 5. September 2014 nicht mit jedem Argument der Beschwerdeführenden einzeln und eingehend auseinandergesetzt, dies ist aber entgegen der von den Beschwerdeführenden vertretenen Auffassung auch nicht notwendig. Die angefochtene Verfügung beinhaltet eine genügend ausführliche Darstellung des Sachverhalts. Aus dem Entscheid wird ersichtlich, von welchen Kriterien sich das BFM hat leiten lassen und weshalb es zum ablehnenden Ergebnis gelangte. Die Verfügung konnte sachgerecht angefochten werden. Eine Gehörsverletzung liegt nicht vor. Die Vorinstanz erachtete den Sachverhalt im Zeitpunkt des Erlasses der Verfügung als rechtsgenüglich erstellt. Diese Einschätzung ist nicht zu beanstanden. Die Würdigung des Sachverhalts bildet nunmehr Gegenstand des Beschwerdeverfahrens.</w:t>
      </w:r>
    </w:p>
    <w:p>
      <w:r>
        <w:rPr>
          <w:b/>
        </w:rPr>
        <w:t>E. 4.7</w:t>
      </w:r>
    </w:p>
    <w:p>
      <w:r>
        <w:t>Die Beschwerdeführenden monieren weiter, die Vorinstanz habe nicht ausreichend begründet, weshalb sie den Wegweisungsvollzug als unzumutbar erachte. Diese Rüge ist ebenfalls unbegründet. Aus der Verfügung ist ersichtlich, dass das BFM die Beschwerdeführenden aufgrund der durch den Bürgerkrieg geprägten Sicherheitslage in Syrien im Sinne von Art. 83 Abs. 4 AuG für konkret gefährdet hält und deshalb den Wegweisungsvollzug als unzumutbar erachtet. Im Übrigen ist nicht ersichtlich, inwiefern die Beschwerdeführenden durch die zu ihren Gunsten verfügte vorläufige Aufnahme beziehungsweise deren Begründung beschwert sein sollten.</w:t>
      </w:r>
    </w:p>
    <w:p>
      <w:r>
        <w:rPr>
          <w:b/>
        </w:rPr>
        <w:t>E. 4.8</w:t>
      </w:r>
    </w:p>
    <w:p>
      <w:r>
        <w:t>Aufgrund des Gesagten besteht keine Veranlassung, die angefochtene Verfügung aus formellen Gründen aufzuheben und die Sache an die Vorinstanz zurückzuweisen. Die entsprechenden Rückweisungsanträge sind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Eine bloss entfernte Möglichkeit künftiger Verfolgung genügt nicht, sondern vielmehr müssen konkrete Indizien die Furcht vor erwarteten Benachteiligungen realistisch und nachvollziehbar erscheinen lassen (vgl. BVGE 2010/57 E. 2.5, 2010/44 E. 3.4). Gezielte, von asylrechtlich relevanter Verfolgungsmotivation getragene Nachteile bestehen dann, wenn eine Person nicht lediglich den gleichen Risiken und Einschränkungen wie die gesamte Bevölkerung ihres Heimat- oder Herkunftsstaats ausgesetzt ist, sondern darüber hinaus als Individuum wegen ihrer politischen oder religiösen Überzeugung oder ihrer Eigenart, Zugehörigkeit oder Herkunft in asylrechtlich relevanter Intensität belangt wird (vgl. BVGE 2013/11 E. 5.1, 2008/12 E. 7).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6.1</w:t>
      </w:r>
    </w:p>
    <w:p>
      <w:r>
        <w:t>Das Bundesverwaltungsgericht gelangt nach Prüfung der Akten in Übereinstimmung mit der Vorinstanz zum Schluss, dass es den Beschwerdeführenden nicht gelingt, eine asylrechtlich relevante Verfolgung darzulegen.</w:t>
      </w:r>
    </w:p>
    <w:p>
      <w:r>
        <w:rPr>
          <w:b/>
        </w:rPr>
        <w:t>E. 6.2</w:t>
      </w:r>
    </w:p>
    <w:p>
      <w:r>
        <w:t>Hinsichtlich des Vorbringens, wegen einer im Jahr 2011 aufgrund eines tödlichen Schusswechsels im Anschluss an eine handgreifliche Auseinandersetzung eines Verwandten am Arbeitsplatz in I._______ entstandenen Familienfehde im Oktober 2013 aus Syrien geflohen zu sein, ist festzustellen, dass die Beschwerdeführerinnen 2 und 3 eigenen Angaben zufolge als Frauen von dem Streit nicht betroffen sind. Ihnen drohen damit in diesem Zusammenhang keine ernsthaften Nachteile im Sinne von Art. 3 AsylG. Aber auch der Beschwerdeführer 1, der nicht zur Kernfamilie des Todesschützen gehöre, wurde laut seinen Aussagen in den zwei Jahren bis zur Ausreise von der Opferfamilie, zu der er keinen Kontakt gehabt habe und mit der seine Familie zuvor nicht bekannt gewesen sei, nicht persönlich bedroht oder behelligt; weder er noch seine (männlichen) Verwandten hätten direkte Verfolgungsmassnahmen erlitten. Aus den Vorbringen der Beschwerdeführenden, bei Familienfehden seien grundsätzlich automatisch alle männlichen Verwandten unmittelbar in Gefahr, geht keine hinreichend konkrete Bedrohung des Beschwerdeführers 1 hervor, er persönlich wäre das anvisierte Ziel von Vergeltungsaktionen, zumal sich der Todesschütze, der nicht der Kernfamilie der Beschwerdeführenden angehöre, bei der Polizei gestellt habe und inhaftiert sei. Angesichts der Zeitspanne bis zur Ausreise, während der nichts vorgefallen sei, was einem ernsthaften Nachteil im Sinne von Art. 3 AsylG gleichkäme, ist die Ursächlichkeit der besagten Familienfehde für die Ausreise der Beschwerdeführenden im Oktober 2013 zu bezweifeln. Aber selbst bei Bejahung der Kausalität ist der geltend gemachten Furcht vor Blutrache - einer archaischen Reaktion auf die Tötung eines Mannes respektive eine Genugtuung für das vergossene Blut und die Beeinträchtigung der Familienehre - in Ermangelung eines asylbeachtlichen Verfolgungsmotivs im Sinne von Art. 3 AsylG die Asylrelevanz abzusprechen (vgl. hierzu das Urteil des BVGer D-670/2014 vom 8. Februar 2016 E. 6.2.3).</w:t>
      </w:r>
    </w:p>
    <w:p>
      <w:r>
        <w:rPr>
          <w:b/>
        </w:rPr>
        <w:t>E. 6.3</w:t>
      </w:r>
    </w:p>
    <w:p>
      <w:r>
        <w:t>Die geltend gemachten Benachteiligungen im Nachgang zur vor mehreren Jahrzehnten erfolgten Verstaatlichung eines Teils des Familienbesitzes (einmalige Anhaltung des Beschwerdeführers 1 für einige Stunden im Jahr 1985 oder 1986 wegen Streitigkeiten um die Ländereien, Schwierigkeiten bei behördlichen Erledigungen, vergebliche Bemühungen der Kinder um staatliche Anstellungen) vermögen mangels flüchtlingsrechtlicher Intensität gemäss Art. 3 AsylG keine Asylrelevanz zu entfalten.</w:t>
      </w:r>
    </w:p>
    <w:p>
      <w:r>
        <w:rPr>
          <w:b/>
        </w:rPr>
        <w:t>E. 6.4</w:t>
      </w:r>
    </w:p>
    <w:p>
      <w:r>
        <w:t>Mit dem Verweis auf ein regimekritisches Fernsehinterview eines Verwandten in O._______ im Jahr 2013 und die in zeitlicher Nähe erfolgte Bombardierung dessen Heimatdorf P._______ sowie weiterer, umliegender Dörfer, vermögen die Beschwerdeführenden ebenfalls keine asylrechtlich relevante (Reflex-)Verfolgung zu begründen, zumal sie persönlich aufgrund des exilpolitischen Engagements des besagten Verwandten keine konkreten Probleme mit den syrischen Behörden gehabt hätten. Die Angst der Beschwerdeführenden vor Bombardierung auch ihres Wohnorts (J._______) ist - wie auch die in der Rechtsmitteleingabe vom 8. Oktober 2014 vorgebrachte grundsätzliche Furcht vor radikalen Islamisten - angesichts der Kriegswirren verständlich. Es handelt sich dabei aber um den Ausdruck einer generellen Gefährdung aufgrund der Bürgerkriegslage vor Ort; konkrete Ereignisse, bei denen die Beschwerdeführenden gezielt von Regimeangehörigen angegriffen oder von Islamisten bedroht worden seien, brachten sie nicht vor. Den kriegsbedingten Ereignissen wurde mit der vorläufigen Aufnahme der Beschwerdeführenden infolge Unzumutbarkeit des Wegweisungsvollzugs Rechnung getragen.</w:t>
      </w:r>
    </w:p>
    <w:p>
      <w:r>
        <w:rPr>
          <w:b/>
        </w:rPr>
        <w:t>E. 6.5</w:t>
      </w:r>
    </w:p>
    <w:p>
      <w:r>
        <w:t>Schliesslich ist auch das erst im Beschwerdeverfahren am 23. März 2015 kommentarlos eingereichte Dokument, bei dem es sich um ein den Beschwerdeführer 1 betreffendes, von der Staatsanwaltschaft in I._______ ausgestelltes Urteil vom 12. Juni 2014 handle, nicht geeignet, eine asylrechtlich relevante Verfolgung des Beschwerdeführers 1 seitens der heimatlichen Behörden zu belegen. An der Echtheit des besagten Dokuments - eine handschriftlich ausgefüllte Formularkopie - bestehen erhebliche Zweifel. Die Schilderung in der Replik vom 30. August 2016, wie die Beschwerdeführenden in dessen Besitz gelangt sein sollen, vermag nicht zu überzeugen, zumal die Aushändigung eines Urteils von der Staatsanwaltschaft an eine Drittperson höchst fraglich erscheint. Belege für den geschilderten Übermittlungsweg (Aushändigung des Dokuments von der Staatsanwaltschaft in I._______ an die besagte Drittperson, Versand von Syrien in die Türkei und von dort in die Schweiz) liegen nicht vor. Auch ist nicht ersichtlich, weshalb die Beschwerdeführenden das besagte Urteil vom 12. Juni 2014 erst in ihrer Eingabe vom 23. März 2015 erwähnten, wenn sie doch laut den Ausführungen in der Replik vom 30. August 2016 bereits seit (spätestens) Dezember 2014 Kenntnis davon gehabt hätten. Die Zweifel erhärten sich im Hinblick auf den Inhalt des Dokuments (Verurteilung des Beschwerdeführers 1 wegen der Teilnahme an einer Demonstration in I._______ am 3. September 2013 und Falschangaben zu den Kindern im Hinblick auf die Verhinderung des Militärdienstes), der gänzlich in Widerspruch zu den Angaben des Beschwerdeführers 1 steht. Der Beschwerdeführer 1 hat weder im erstinstanzlichen Verfahren noch auf Beschwerdeebene etwas vorgebracht, das in diese Richtung weisen würde. Er hat nicht geltend gemacht, im September 2013 an einer Demonstration in I._______ - oder überhaupt je an einer Kundgebung - teilgenommen zu haben. Vielmehr hat er ausgesagt, nicht politisch aktiv gewesen zu sein, und (abgesehen von einer einmaligen Festhaltung im Jahr 1985 oder 1986) nie Probleme mit der Polizei, dem Militär oder einer anderen Organisation gehabt zu haben. Zudem habe er aufgrund der Fehde mit der aus I._______ stammenden Familie L._______ J._______ nicht mehr verlassen respektive sei nicht mehr nach I._______ gegangen. Als Ausreisegrund machte er ausdrücklich nur die besagte Familienfehde und die Bombardierung von P._______ nach dem Fernsehinterview des Verwandten in O._______ respektive die Bürgerkriegssituation geltend. Des Weiteren wird in dem besagten Dokument lediglich ein Strafrahmen genannt (ein Monat bis ein Jahr), obwohl es sich um ein rechtskräftiges Urteil handle und somit das effektiv ausgesprochene Strafmass daraus ersichtlich sein sollte. Bei dieser Sachlage kommt dem besagten Dokument mangels glaubhafter Authentizität keine genügende Beweiskraft zu, zumal solche Dokumente leicht erhältlich gemacht werden können.</w:t>
      </w:r>
    </w:p>
    <w:p>
      <w:r>
        <w:rPr>
          <w:b/>
        </w:rPr>
        <w:t>E. 6.6</w:t>
      </w:r>
    </w:p>
    <w:p>
      <w:r>
        <w:t>Zusammenfassend ist es den Beschwerdeführenden nicht gelungen, nachzuweisen oder zumindest glaubhaft zu machen, im Zeitpunkt ihrer Ausreise aus Syrien im Oktober 2013 asyl- respektive flüchtlingsrechtlich relevanter Verfolgung im Sinne von Art. 3 AsylG ausgesetzt gewesen zu sein. Konkrete Anhaltspunkte für eine objektiv begründete Furcht vor künftiger gezielter, asylrechtlich relevanter Verfolgung der Beschwerdeführenden durch private Drittpersonen, die syrischen Behörden oder radikale Islamisten im Sinne von Art. 3 AsylG liegen aufgrund der Aktenlage ebenfalls nicht vor. Das SEM hat damit die Flüchtlingseigenschaft zu Recht verneint und die Asylgesuche entsprechend abgelehnt. Es erübrigt sich, auf die weiteren Ausführungen in den Rechtsmitteleingaben näher einzugehen, da sie an der vorliegenden Würdigung des Sachverhalts nichts zu ändern vermögen.</w:t>
      </w:r>
    </w:p>
    <w:p>
      <w:r>
        <w:rPr>
          <w:b/>
        </w:rPr>
        <w:t>E. 7.1</w:t>
      </w:r>
    </w:p>
    <w:p>
      <w:r>
        <w:t>Lehnt die Vorinstanz das Asylgesuch ab oder tritt sie darauf nicht ein, verfügt sie in der Regel die Wegweisung und ordnet den Vollzug an; sie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Die Vorinstanz hat die Beschwerdeführenden infolge Unzumutbarkeit des Wegweisungsvollzugs vorläufig aufgenommen. Praxisgemäss stellen sich in diesem Zusammenhang keine weiteren Fragen mehr, zumal die Wegweisungsvollzugshindernisse alternativer Natur sind und bei Vorliegen eines Hindernisses der Vollzug als nicht durchführbar gilt (vgl. hierzu auch die vorstehenden Ausführungen unter E. 3.2).</w:t>
      </w:r>
    </w:p>
    <w:p>
      <w:r>
        <w:rPr>
          <w:b/>
        </w:rPr>
        <w:t>E. 7.4</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Die Vorinstanz hat dieser generellen Gefährdung Rechnung getragen und die Beschwerdeführenden gestützt auf Art. 83 Abs. 1 und 4 AuG wegen Unzumutbarkeit des Wegweisungsvollzugs vorläufig aufgenommen. Diese Anordnung erwächst mit vorliegendem Urteil in Rechtskraft.</w:t>
      </w:r>
    </w:p>
    <w:p>
      <w:r>
        <w:rPr>
          <w:b/>
        </w:rPr>
        <w:t>E. 8</w:t>
      </w:r>
    </w:p>
    <w:p>
      <w:r>
        <w:t>Aus diesen Erwägungen ergibt sich, dass die angefochtene Verfügung Bundesrecht nicht verletzt und auch sonst nicht zu beanstanden ist (Art. 106 Abs. 1 AsylG, Art. 49 VwVG). Die Beschwerde ist abzuweisen, soweit auf diese einzutreten ist.</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erst nachträglich gewährte Akteneinsicht ist von derart untergeordneter Bedeutung, dass sich eine abweichende Kostenauflage nicht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