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D-5776/2013 vom 27. November 2013</w:t>
      </w:r>
    </w:p>
    <w:p>
      <w:r>
        <w:t>Bundesverwaltungsgericht, 2013-11-27, DE</w:t>
      </w:r>
    </w:p>
    <w:p>
      <w:r>
        <w:rPr>
          <w:b/>
        </w:rPr>
        <w:t xml:space="preserve">Quelle: </w:t>
      </w:r>
      <w:r>
        <w:t>https://mcp.opencaselaw.ch/entscheid/bvger_D-5776_2013</w:t>
      </w:r>
    </w:p>
    <w:p>
      <w:r>
        <w:t>FR: TAF D-5776/2013 du 27 novembre 2013</w:t>
      </w:r>
    </w:p>
    <w:p>
      <w:r>
        <w:t>IT: TAF D-5776/2013 del 27 novembre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Vorliegend ist von einer rechtsgenüglichen Beschwerde im Sinne von Art. 52 Abs. 1 VwVG auszugehen, auch wenn die notwendigen formellen Voraussetzungen nur minimal erfüllt sind: Da es sich um eine Laienbeschwerde aus dem Ausland handelt, werden praxisgemäss die Kriterien für das Erfüllen der formellen Voraussetzungen hinsichtlich Inhalt und Form grosszügig ausgelegt. Zudem sind Korrespondenzen bei Auslandgesuchen aufwändig und nehmen viel Zeit in Anspruch, was sich insbesondere dann nicht rechtfertigt, wenn die Beschwerde wie im vorliegenden Fall aussichtslos erscheint (vgl. nachfolgende Erwägungen). Insbesondere ergibt sich aus den Eingaben des Beschwerdeführers, dass er die angefochtene Verfügung anfechten und eine Gutheissung des von ihm im Ausland gestellten Asylgesuchs bewirken will. Ferner legt er ansatzweise dar, dass die von ihm geltend gemachten religiösen Schwierigkeiten den Grund seiner Anfechtung darstellen.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Das Gesuch des Beschwerdeführers um Erstreckung der Frist zur Einreichung einer weiteren Beschwerdeschrift nach Abschluss seiner Ausbildung in (...) ist angesichts der klaren gesetzlichen Regelung - einer Beschwerdefrist von 30 Tagen (vgl. Art. 108 AsylG) - abzuweisen.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Auslandverfahren anzuwenden.</w:t>
      </w:r>
    </w:p>
    <w:p>
      <w:r>
        <w:rPr>
          <w:b/>
        </w:rPr>
        <w:t>E. 5.2</w:t>
      </w:r>
    </w:p>
    <w:p>
      <w:r>
        <w:t>Das BFM kann ein im Ausland gestelltes Asylgesuch ablehnen, wenn die asylsuchende Person keine Verfolgung glaubhaft machen oder ihr die Aufnahme in einem Drittstaat zugemutet werden kann (vgl. Art. 3, Art. 7 und Art. 52 Abs. 2 AsylG). Gemäss alt Art. 20 Abs. 2 AsylG bewilligt das BFM einer asylsuchenden Person die Einreise zur Abklärung des Sachverhalts, wenn ihr nicht zugemutet werden kann, im Wohnsitz- oder Aufenthaltsstaat zu bleiben oder in ein anderes Land auszureisen. Gestützt auf alt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besteht.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Vorliegend wurde mit dem Beschwerdeführer am 18. Februar 2013 eine Anhörung durchgeführt.</w:t>
      </w:r>
    </w:p>
    <w:p>
      <w:r>
        <w:rPr>
          <w:b/>
        </w:rPr>
        <w:t>E. 6.1</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Die Vorbringen in der Rechtsmitteleingabe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zutreffenden Erwägungen des BFM nicht umzustossen. Für das Bundesverwaltungsgericht besteht somit nach Überprüfung der Akten keine Veranlassung, die Erwägungen des BFM zu beanstanden. Um Wiederholungen zu vermeiden, kann daher auf die zutreffenden Ausführungen in der angefochtenen Verfügung verwiesen werden. Insbesondere fällt ins Gewicht, dass der Beschwerdeführer seit seinem Umzug nach B._______ im Jahr 2006 gemäss seinen Aussagen (vgl. Akte A15/17 S. 5 und 7) keine nennenswerten Schwierigkeiten hatte und somit für die Zeit seit dem Jahr 2006 keine asylrelevante Verfolgung geltend macht. Unter diesen Umständen ist im heutigen Zeitpunkt nicht von einer bestehenden Verfolgung im Sinne von Art. 3 AsylG auszugehen. An dieser Einschätzung vermag seine Aussage, er sei im Jahr 2012 in einer lokalen Zeitung als Verräter bezeichnet worden, nichts zu ändern, zumal - wie das BFM ebenfalls zutreffend festhielt - dies für den Beschwerdeführer keine weiteren Folgen hatte. Im Übrigen kann er sich im Fall von weiteren Nachstellungen seitens Drittpersonen an die Behörden seines Heimatlandes wenden, zumal diese als schutzfähig und schutzwillig gelten. Er ist somit nicht auf den Schutz der Schweiz angewiesen. Nach dem Gesagten erfüllt der Beschwerdeführer die Flüchtlingseigenschaft nach Art. 3 AsylG nicht.</w:t>
      </w:r>
    </w:p>
    <w:p>
      <w:r>
        <w:rPr>
          <w:b/>
        </w:rPr>
        <w:t>E. 6.2</w:t>
      </w:r>
    </w:p>
    <w:p>
      <w:r>
        <w:t>Unter diesen Umständen erübrigt es sich, auf die weiteren Vorbringen in der Beschwerde sowie die eingereichten Beweismittel im Einzelnen einzugehen, da sie am Ergebnis nichts zu ändern vermögen. Es ist dem Beschwerdeführer nicht gelungen, eine Verfolgung im Sinne von Art. 3 AsylG nachzuweisen oder glaubhaft zu machen. Seine Schutzbedürftigkeit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