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D-5767/2006 vom 1. Dezember 2010</w:t>
      </w:r>
    </w:p>
    <w:p>
      <w:r>
        <w:t>Bundesverwaltungsgericht, 2010-12-01, DE</w:t>
      </w:r>
    </w:p>
    <w:p>
      <w:r>
        <w:rPr>
          <w:b/>
        </w:rPr>
        <w:t xml:space="preserve">Quelle: </w:t>
      </w:r>
      <w:r>
        <w:t>https://mcp.opencaselaw.ch/entscheid/bvger_D-5767_2006</w:t>
      </w:r>
    </w:p>
    <w:p>
      <w:r>
        <w:t>FR: TAF D-5767/2006 du 1 décembre 2010</w:t>
      </w:r>
    </w:p>
    <w:p>
      <w:r>
        <w:t>IT: TAF D-5767/2006 del 1 dicembre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Gebiete des Asyls endgültig (Art. 105 des Asylgesetzes vom 26. Juni 1998 [AsylG, SR 142.31]; Art. 83 Bst. d Ziff. 1 des Bundesgerichtsgesetzes vom 17. Juni 2005 [BGG, SR 173.110]).</w:t>
      </w:r>
    </w:p>
    <w:p>
      <w:r>
        <w:rPr>
          <w:b/>
        </w:rPr>
        <w:t>E. 1.2</w:t>
      </w:r>
    </w:p>
    <w:p>
      <w:r>
        <w:t>Das Bundesverwaltungsgericht übernimmt die Beurteilung der am 1. Januar 2007 bei der ARK hängigen Rechtsmittel und wendet dabei das neue Verfahrensrecht an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4.1</w:t>
      </w:r>
    </w:p>
    <w:p>
      <w:r>
        <w:t>Der Vollzug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Der Grundsatz der Nichtrückschiebung schützt nur Personen, die die Flüchtlingseigenschaft erfüllen. Die Nichtzuerkennung der Flüchtlingseigenschaft ist in Rechtskraft erwachsen. Das in Art. 5 AsylG verankerte Prinzip des flüchtlingsrechtlichen Non-Refoulements kann im vorliegenden Verfahren somit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Das Bundesverwaltungsgericht ging aufgrund seiner zuletzt publizierten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Asylsuchender aus Sri Lanka in die Nordprovinz (Distrikte Kilinochchi, Mannar, Y._______,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4.3.2</w:t>
      </w:r>
    </w:p>
    <w:p>
      <w:r>
        <w:t>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beispielsweise die Urteile des Bundesverwaltungsgerichts D- 4125/2006 vom 16. Februar 2010 E. 10.2.3, E-157/2008 vom 5. November 2010 E. 5.4.2 sowie D-4939/2008 E. 5.3.3). Unter diesen Umständen bleibt weiterhin auf individueller Basis zu prüfen, ob für Tamilen im Süden Sri Lankas respektive im Grossraum Colombo eine innerstaatliche Aufenthaltsalternative besteht.</w:t>
      </w:r>
    </w:p>
    <w:p>
      <w:r>
        <w:rPr>
          <w:b/>
        </w:rPr>
        <w:t>E. 4.3.3</w:t>
      </w:r>
    </w:p>
    <w:p>
      <w:r>
        <w:t>In casu ist für den Beschwerdeführer zum heutigen Zeitpunkt das Bestehen einer innerstaatlichen Aufenthaltsalternative zu bejahen; die diesbezüglich in BVGE 2008/2 aufgestellten Kriterien haben für ihn weiterhin Gültigkeit: Eigenen Angaben zufolge stammt der Beschwerdeführer aus Z._______ (Ostprovinz). Mit Unterbruch seiner Arbeitstätigkeit in Y._______ (Nordprovinz; Januar 2003 bis 8. Oktober 2005), während der er bloss alle zwei Wochen nach Hause zurückgekehrt sei, sowie den zwei Monaten vor der Ausreise, habe er ansonsten stets im Heimatdorf gelebt. Während etwas mehr als fünf Jahren habe er als Staatsangestellter die Funktion eines [...] wahrgenommen. Nebst seiner Muttersprache Tamilisch verfügt er über Kenntnisse der singalesischen und englischen Sprache. In der heimatlichen Ostprovinz würden bei seinen Eltern die Ehefrau mit zwei Söhnen sowie eine Schwester leben; ein Bruder wohne in Colombo. Mangels anderweitiger Anhaltspunkte in den Akten ist zudem anzunehmen, dass der heute knapp über 36-jährige Beschwerdeführer gesund ist (A 1 S. 1, 2, 3 und 5; A 8 S. 3 und 4).</w:t>
      </w:r>
    </w:p>
    <w:p>
      <w:r>
        <w:rPr>
          <w:b/>
        </w:rPr>
        <w:t>E. 4.3.4</w:t>
      </w:r>
    </w:p>
    <w:p>
      <w:r>
        <w:t>Entscheidend für die Beurteilung der individuellen Lage sind im hier zu beurteilenden Fall insbesondere folgende Fakten: Der Beschwerdeführer konnte sich im Januar oder Februar 2005 in Colombo problemlos einen Pass ausstellen lassen; den alten Pass, den er sich 1996 "einfach so" habe ausstellen lassen, hätte er für den neuen abgeben müssen (A 1 S. 3). Ferner lebte der Beschwerdeführer während zwei Monaten vor der Ausreise unbehelligt bei seinem Bruder und dessen Familie in Colombo (A 1 S. 6; A 8 S. 5 und 6). Es kann deshalb ohne Weiteres davon ausgegangen werden, dass gegen den Beschwerdeführer keinerlei Sicherheitsbedenken seitens der Behörden bestanden beziehungsweise zum heutigen Zeitpunkt (noch) bestehen. Er gab denn auch unumwunden zu Protokoll, nie irgendwelche Probleme mit den heimatlichen Behörden gehabt zu haben (A 1 S. 7). Schliesslich ist davon auszugehen, dass der Beschwerdeführer beziehungsweise dessen Familie finanziell gut gestellt sein dürfte, kam er doch für die hohen Ausreisekosten selbst auf (A 8 S. 9). Lediglich der Vollständigkeit halber sei hier auf die Aussage des Beschwerdeführers hingewiesen, wonach sein zu den Akten gereichter Pensionsausweis (Member's Card) beweise, dass er eine feste Stelle habe. Vor diesem Hintergrund erweisen sich die Ausführungen zu den Vernehmlassungen des BFM (vgl. Bst. I und K hiervor), worauf zur Vermeidung von Wiederholungen zu verweisen ist, als ungeeignet. Die Stellungnahme vom 13. November 2006 setzt sich überhaupt nicht mit der vorinstanzlichen Argumentation (vgl. Bst. I hiervor) auseinander, sondern beschränkt sich bloss auf ein paar nicht über Allgemeinplätze hinausgehende Sätze zur damaligen aktuellen Situation in Sri Lanka. Konkret auf den Beschwerdeführer bezogene Vorbringen, welche eine allfällige Rückkehr ins Heimatland als unzumutbar erscheinen liessen, unterblieben. Nicht entkräftet oder gar beseitigt wird die vorinstanzliche Argumentation (vgl. Bst. K hiervor) durch die mit diversen Unterlagen versehene Stellungnahme vom 29. April 2008. Die diesbezüglichen Vorbringen (fehlendes Beziehungsnetz in Colombo, fehlende Arbeitsbewilligung für Colombo, finanzielle Situation) müssen als nicht näher belegte Behauptungen gewertet werden. Die im Zusammenhang mit der im Jahre 2008 herrschenden allgemeinen Situation in Sri Lanka eingereichten Zeitungsartikel beziehen sich auf diverse Vorkommnisse in dieser Zeitperiode. Auch stammen die beiden Schreiben des SFH aus demselben Jahr. Mangels Aktualitäts- beziehungsweise Fallbezug kann der Beschwerdeführer aus diesen Dokumenten aber nichts zu seinen Gunsten ableiten. Gleich verhält es sich mit den Schreiben des srilankischen Gesundheitswesens, welche allesamt aus dem Jahre 2002 stammen. Ihnen ist gemeinsam, dass sie einzig die nie bestrittene Anstellung des Beschwerdeführers als [...] (Staatsangestellter) zu dokumentieren vermögen. Unter all diesen Umständen sollte es dem Beschwerdeführer nicht zuletzt aufgrund seines beruflichen Hintergrundes möglich sein, sich in Colombo niederzulassen und sich dort (wieder) eine wirtschaftliche und soziale Existenzgrundlage aufzubauen.</w:t>
      </w:r>
    </w:p>
    <w:p>
      <w:r>
        <w:rPr>
          <w:b/>
        </w:rPr>
        <w:t>E. 4.3.5</w:t>
      </w:r>
    </w:p>
    <w:p>
      <w:r>
        <w:t>Der Vollzug der Wegweisung des Beschwerdeführers erweist sich demnach auch nach heutiger Einschätzung der Lage insgesamt als zumutbar.</w:t>
      </w:r>
    </w:p>
    <w:p>
      <w:r>
        <w:rPr>
          <w:b/>
        </w:rPr>
        <w:t>E. 4.4</w:t>
      </w:r>
    </w:p>
    <w:p>
      <w:r>
        <w:t>Auf den vorliegenden Fall bezogen ergibt sich somit zusammenfassend, dass das BFM das Wiedererwägungsgesuch des Beschwerdeführers zu Recht abgewiesen hat. Angesichts dieser Sachlage erübrigen sich weitere Erörterungen. Die Ausführungen im Beschwerdeverfahren und die auf Beschwerdeebene eingereichten Unterlagen, insbesondere diejenigen, welche mit der Beschwerde eingereicht wurden, vermögen daran nichts zu ändern.</w:t>
      </w:r>
    </w:p>
    <w:p>
      <w:r>
        <w:rPr>
          <w:b/>
        </w:rPr>
        <w:t>E. 5</w:t>
      </w:r>
    </w:p>
    <w:p>
      <w:r>
        <w:t>Aus diesen Erwägungen ergibt sich, dass die angefochtene Verfügung Bundesrecht nicht verletzt, den rechtserheblichen Sachverhalt richtig und vollständig feststellt und angemessen ist (Art. 106 AsylG). Die Beschwerde ist abzuweisen. Die Verfügung des BFM vom 17. Januar 2006 bleibt rechtskräftig.</w:t>
      </w:r>
    </w:p>
    <w:p>
      <w:r>
        <w:rPr>
          <w:b/>
        </w:rPr>
        <w:t>E. 6</w:t>
      </w:r>
    </w:p>
    <w:p>
      <w:r>
        <w:t>Bei diesem Ausgang des Verfahrens sind die Kosten dem Beschwerdeführer aufzuerlegen (Art. 63 Abs. 1 VwVG) und auf insgesamt Fr. 1'200.- festzusetzen (Art. 1-3 des Reglements über die Kosten und Entschädigungen vor dem Bundesverwaltungsgericht vom 21. Februar 2008 [VGKE]). Diese sind mit dem am 16. August 2006 in der gleichen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