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D-5766/2023 vom 7. Dezember 2023</w:t>
      </w:r>
    </w:p>
    <w:p>
      <w:r>
        <w:t>Bundesverwaltungsgericht, 2023-12-07, FR</w:t>
      </w:r>
    </w:p>
    <w:p>
      <w:r>
        <w:rPr>
          <w:b/>
        </w:rPr>
        <w:t xml:space="preserve">Quelle: </w:t>
      </w:r>
      <w:r>
        <w:t>https://mcp.opencaselaw.ch/entscheid/bvger_D-5766_2023</w:t>
      </w:r>
    </w:p>
    <w:p>
      <w:r>
        <w:t>FR: TAF D-5766/2023 du 7 décembre 2023</w:t>
      </w:r>
    </w:p>
    <w:p>
      <w:r>
        <w:t>IT: TAF D-5766/2023 del 7 dicembre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du 19 octobre 2023 en tant qu'il porte sur la non-entrée en matière sur la demande d'asile et le renvoi (procédure D-5766/2023) et statuer définitivement en matière d'asile.</w:t>
      </w:r>
    </w:p>
    <w:p>
      <w:r>
        <w:rPr>
          <w:b/>
        </w:rPr>
        <w:t>E. 1.2</w:t>
      </w:r>
    </w:p>
    <w:p>
      <w:r>
        <w:t>Le présent litige porte aussi sur la rectification de la date de naissance du recourant dans SYMIC (procédure D-6062/2023).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Par ailleurs, dans cette matière, le Tribunal ne statue pas de manière définitive, une voie de droit étant ouverte au Tribunal fédéral (art. 82 ss LTF ; arrêt du TF 1C_452/2021 du 23 novembre 2022 consid. 1). Dans son recours du 3 novembre 2023, l'intéressé reproche au SEM d'avoir violé les dispositions de la LPD et réitère sa demande en rectification des données SYMIC. Son recours portant sur cette matière (procédure D-6062/2023) a été introduit alors que la procédure de recours en matière d'asile était encore pendante, de sorte que la compétence de la Cour IV du Tribunal pour connaître de cette affaire est également donnée.</w:t>
      </w:r>
    </w:p>
    <w:p>
      <w:r>
        <w:rPr>
          <w:b/>
        </w:rPr>
        <w:t>E. 1.3</w:t>
      </w:r>
    </w:p>
    <w:p>
      <w:r>
        <w:t>Il convient en l'occurrence de prononcer la jonction des causes D-5766/2023 ainsi que D-6062/2023 et de rendre un seul jugement concernant ces deux procédures, compte tenu de l'état de fait commun à celles-ci et de l'issue des causes.</w:t>
      </w:r>
    </w:p>
    <w:p>
      <w:r>
        <w:rPr>
          <w:b/>
        </w:rPr>
        <w:t>E. 1.4</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1.5</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 recourant fait valoir une violation du devoir d'instruction en ce qui concerne son âge et son état de santé, faisant grief au SEM d'avoir établi l'état de fait de manière inexacte et incomplète en ne prenant notamment pas en compte les diverses pièces versées au dossier et en renonçant à effectuer des mesures d'instruction supplémentaires.</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Le cas échéant, l'établissement inexact et incomplet de l'état de fait pertinent au sens de l'art. 106 al. 1 let. b LAsi peut également constituer une violation du droit d'être entendu (cf. arrêt du Tribunal D-1484/2019 du 25 avril 2019, p. 5 et 6).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w:t>
      </w:r>
    </w:p>
    <w:p>
      <w:r>
        <w:rPr>
          <w:b/>
        </w:rPr>
        <w:t>E. 2.4</w:t>
      </w:r>
    </w:p>
    <w:p>
      <w:r>
        <w:t>En l'occurrence, force est d'admettre que le SEM, s'il n'a pas mentionné expressis verbis les pièces produites (soit notamment les copies de la tazkira et du certificat de naissance), a implicitement pris en compte ces éléments en retenant que l'intéressé n'avait produit aucun document d'identité juridiquement valable, ce qui, au vu du dossier, ne saurait valablement être remis en cause. En tout état de cause, le SEM s'est prononcé sur cette question dans le cadre de sa réponse du 31 octobre 2023 et le recourant a ensuite pu se déterminer à ce sujet dans sa réplique du 13 novembre suivant. En outre, le Tribunal considère que l'état de fait est suffisamment complet et que le SEM a correctement instruit la cause et n'a, en particulier, commis aucune négligence procédurale en n'investiguant pas celle-ci plus avant. Du reste, l'intéressé ne précise pas réellement quels auraient été les moyens de preuve ou questions supplémentaires qui auraient été selon lui nécessaires pour trancher la présente affaire et que l'autorité intimée aurait omis d'obtenir. Dans ces conditions, on ne saurait lui reprocher une instruction déficiente, respectivement d'avoir établi les faits de manière inexacte ou incomplète. Pour le surplus, le recourant remet en cause l'appréciation que le SEM a faite de ses déclarations ainsi que des autres éléments au dossier, au terme de laquelle il a considéré sa minorité comme n'étant pas vraisemblable. Dans ces conditions, les arguments invoqués à la base de ce grief formel se confondent avec ceux invoqués sur le fond. Ils seront donc examinés plus loin.</w:t>
      </w:r>
    </w:p>
    <w:p>
      <w:r>
        <w:rPr>
          <w:b/>
        </w:rPr>
        <w:t>E. 2.5</w:t>
      </w:r>
    </w:p>
    <w:p>
      <w:r>
        <w:t>S'agissant de la situation médicale de l'intéressé, aucun manquement de la part du SEM ne saurait être retenu. Dite autorité a statué sur la base des déclarations de l'intéressé et des documents médicaux figurant au dossier, en prenant en considération les éléments dont il avait alors connaissance. Ceux-ci ne faisaient en aucun cas ressortir la nécessité pour le recourant d'entreprendre un suivi médical particulier, que ce soit en lien avec des atteintes d'ordre psychique ou somatique, ni celle d'instruire davantage sa situation médicale. En outre, l'intéressé avait expressément été rendu attentif, dans le cadre de l'audition RMNA du 3 juillet 2023 (soit plus de trois mois avant la notification de la décision querellée), au fait qu'il lui incombait de faire valoir ses problèmes de santé. Il lui aurait été loisible, dans cet intervalle, de consulter des spécialistes de la santé et de produire, si nécessaire, de nouvelles pièces médicales. Partant, l'autorité précédente était fondée à statuer sans procéder à d'autres mesures d'investigation, ni attendre l'établissement d'autres rapports médicaux. Le SEM n'a par conséquent pas violé son devoir d'instruction d'office et de motivation s'agissant de l'état de santé du recourant.</w:t>
      </w:r>
    </w:p>
    <w:p>
      <w:r>
        <w:rPr>
          <w:b/>
        </w:rPr>
        <w:t>E. 2.6</w:t>
      </w:r>
    </w:p>
    <w:p>
      <w:r>
        <w:t>Enfin, le Tribunal constate, comme l'a relevé l'intéressé dans son recours, que le SEM, dans la décision querellée, a par deux fois faussement indiqué l'Italie, et à une reprise la Suède, comme Etat membre compétent au sens du Règlement Dublin III (cf. mémoire de recours, p. 23), en lieu et place de l'Allemagne. Dans la mesure où il apparaît qu'il s'agit à l'évidence d'erreurs de plume et que celles-ci n'ont manifestement eu aucune influence sur le sort de la cause (l'état de fait étant correct et le dispositif de dite décision indiquant expressément un transfert vers l'Allemagne) ainsi que sur la bonne compréhension de la décision par le recourant, il n'y a pas lieu d'annuler cette dernière pour cette raison, ni de renvoyer la cause au SEM pour instruction complémentaire, le recourant ne le demandant d'ailleurs pas.</w:t>
      </w:r>
    </w:p>
    <w:p>
      <w:r>
        <w:rPr>
          <w:b/>
        </w:rPr>
        <w:t>E. 2.7</w:t>
      </w:r>
    </w:p>
    <w:p>
      <w:r>
        <w:t>Compte tenu de ce qui précède, les griefs formels soulevés dans le recours doivent être écartés.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A-3153/2017 précité consid. 3.2 et réf. cit.).</w:t>
      </w:r>
    </w:p>
    <w:p>
      <w:r>
        <w:rPr>
          <w:b/>
        </w:rPr>
        <w:t>E. 3.3</w:t>
      </w:r>
    </w:p>
    <w:p>
      <w:r>
        <w:t>L'art. 41 al. 4 LPD dispose par ailleurs que si l'exactitude ou l'inexactitude d'une donnée personnelle ne peut pas être établie, l'organe fédéral ajoute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4</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 (procédure D-6062/2023).</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 ce qui n'est pas le cas en l'espèce (son oncle, établi en Angleterre, n'étant pas assimilé à un membre de la famille au sens de l'art. 2 let. g du règlement Dublin III) - et que cela soit conforme à son intérêt supérieur. Dans ce contexte, il sied de relever qu'en présence d'un requérant d'asile mineur non accompagné, l'autorité d'asile doit adopter les mesures adéquates en vue d'assurer la défense des droits de celui-ci au cours de l'instruction de sa demande, y compris dans le cadre d'une procédure conduite en application du règlement Dublin III (art. 17 LAsi, en relation avec l'art. 7 de l'ordonnance 1 du 11 août 1999 sur l'asile relative à la procédure [OA 1, RS 142.311] ; cf. ATAF 2014/30 consid. 2.3 et 3.2 ; 2011/23 consid. 5.4.6 et 7 ; 2009/54 consid. 4.1 ; arrêts du Tribunal E-1928/2014 du 24 juillet 2014 consid. 2.2 [non publié dans ATAF 2014/30 précité] ;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de recourse en matière d'asile [JICRA] 2004/30 consid. 6, confirmée notamment par E-1928/2014 précité consid. 2.2.1 [non publié dans ATAF 2014/30] et, plus récemment, par l'arrêt du Tribunal F-742/2020 du 17 février 2020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5.2</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Sironi /Vuille/Taroni, Estimation forensique de l'âge des jeunes migrants, Une note sur la scientificité des méthodes employées en Suisse, in : Jusletter, 8 octobre 2018, N 59).</w:t>
      </w:r>
    </w:p>
    <w:p>
      <w:r>
        <w:rPr>
          <w:b/>
        </w:rPr>
        <w:t>E. 5.3</w:t>
      </w:r>
    </w:p>
    <w:p>
      <w:r>
        <w:t>En l'espèce, le Tribunal retient, à l'instar du SEM, que le recourant n'a pas déposé de document d'identité susceptible, à lui seul, de prouver sa minorité (art. 1a let. c OA 1), la passeport de son père ne lui étant d'aucune utilité. La copie de la « tazkira » fournie par l'intéressé, n'a quant à elle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A-982/2022 du 24 février 2023 consid. 4.3.5 ; D-4824/2019 du 27 septembre 2019 consid. 8.5 ; D-6124/2015 du 14 octobre 2015 ; D-1702/2015 du 24 mars 2015).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arrêts du Tribunal D-5258/2023 du 6 octobre 2023 consid. 7.3 ; F-5112/2020 du 16 décembre 2020 consid. 4.5). Il en va de même en ce qui concerne les copies de son certificat de naissance et de sa licence de boxe, lesquelles possèdent une valeur probante très faible (cf. arrêt du Tribunal A-81/2013 du 5 novembre 2013 consid. 6.3.3), notamment parce qu'il s'agit de documents établis à d'autres fins que celles d'établir l'identité de l'intéressé (cf. ATAF 2007/7 consid. 6). Le SEM n'était ainsi, en soi, pas tenu de procéder à une vérification formelle de l'authenticité de la photo du certificat de naissance (cf. recours du 19 octobre 2023, p. 17 in fine) ni de prendre en considération ces documents, dans la mesure où, comme cela ressort de la décision contestée, ils sont dépourvus de valeur probante (cf. décision du SEM du 10 octobre 2023, ch. II, p. 4). Cela vaut d'autant plus que les moyens offerts sont de simples copies, ce qui augmente encore les possibilités de falsification, au moyen notamment d'ajouts, de modifications ou encore de suppressions d'informations (cf. arrêts du Tribunal D-5258/2023 précité consid. 7.3 ; D-2513/2023 du 29 août 2023 consid. 4.2.3).</w:t>
      </w:r>
    </w:p>
    <w:p>
      <w:r>
        <w:rPr>
          <w:b/>
        </w:rPr>
        <w:t>E. 5.4</w:t>
      </w:r>
    </w:p>
    <w:p>
      <w:r>
        <w:t>Dans ces conditions, il est nécessaire de déterminer s'il existe d'autres éléments au dossier parlant en faveur de la minorité alléguée du recourant.</w:t>
      </w:r>
    </w:p>
    <w:p>
      <w:r>
        <w:rPr>
          <w:b/>
        </w:rPr>
        <w:t>E. 5.5.1</w:t>
      </w:r>
    </w:p>
    <w:p>
      <w:r>
        <w:t>L'analyse médico-légale du 3 août 2023 (cf. let. D.b supra) qui repose, d'une part, sur un examen clinique et sur un examen radiologique (en l'occurrence une radiographie standard de la dentition et de la main gauche) et, d'autre part, sur un CT-scanner des articulations sterno-claviculaires, retient un âge moyen, chez l'intéressé, compris entre 20 et 24 ans, l'âge minimum retenu étant de 17,6 ans. La date de naissance alléguée par le recourant, soit le (...) peut être exclue selon les experts.</w:t>
      </w:r>
    </w:p>
    <w:p>
      <w:r>
        <w:rPr>
          <w:b/>
        </w:rPr>
        <w:t>E. 5.5.2</w:t>
      </w:r>
    </w:p>
    <w:p>
      <w:r>
        <w:t>Plus spécifiquement, l'expertise relative à l'âge du requérant indique, en ce qui concerne l'évaluation dentaire de deux dents de sagesse, quatre indications d'âge moyen - car basées sur quatre méthodes différentes - avec une fourchette d'âge comprise entre 20.5 [+/- 1.97] ans pour la dent n° 38 (selon MINCER et al.) et 23.5 [+/- 2.8] ans pour la dent n° 48 (selon KAHL et SCHWARZE). En conclusion, il a été constaté que l'intéressé présentait un âge moyen de 20,5 ans. L'âge osseux au niveau des articulations sternoclaviculaires selon KELLINGHAUS et al. correspond à un stade 3b. L'âge moyen d'un homme présentant ce stade est selon WITTSCHIEBER et al. de 21.7 ans, avec une déviation standard de 3.7 ans, et l'âge minimum de 17,6 ans.</w:t>
      </w:r>
    </w:p>
    <w:p>
      <w:r>
        <w:rPr>
          <w:b/>
        </w:rPr>
        <w:t>E. 5.5.3</w:t>
      </w:r>
    </w:p>
    <w:p>
      <w:r>
        <w:t>Bien qu'aucun âge minimum n'ait été explicitement indiqué en ce qui concerne l'examen dentaire, il est possible de le calculer sur la base des âges moyens indiqués et des fourchettes d'âge idoines. En partant d'un âge moyen de 20.5 ans pour la dent n° 38 selon MINCER et al. et en tenant compte de la marge d'âge possible de +/- 1.97 ans, on obtient un âge minimum de 18.5 ans, respectivement un âge maximum de 26.3 ans pour la dent n° 48 selon KAHL et SCHWARZE. L'âge osseux au niveau des clavicules se situant entre 17.6 ans et 25.4 ans (21.7 [+/- 1.97] ans), il y a donc un chevauchement des fourchettes d'âge de l'analyse dentaire - laquelle, on vient de le voir, mentionne de surcroît un âge minimum de plus de 18 ans - et osseuse. Cela constitue un indice fort de la majorité du recourant selon la jurisprudence du Tribunal (cf. ATAF 2018 VI/3 consid. 4.2.2 ; cf. arrêt du Tribunal E-4873/2022 du 7 novembre 2022, spéc. consid. 5.5.2 et 5.5.3). La date de naissance alléguée, qui supposait qu'il soit âgé de 16 ans et 4 mois au moment de dite expertise, peut dès lors être exclue.</w:t>
      </w:r>
    </w:p>
    <w:p>
      <w:r>
        <w:rPr>
          <w:b/>
        </w:rPr>
        <w:t>E. 5.5.4</w:t>
      </w:r>
    </w:p>
    <w:p>
      <w:r>
        <w:t>Dans ces conditions, on ne saurait reprocher au SEM d'avoir considéré que les conclusions de l'expertise constituaient un indice de la majorité du recourant.</w:t>
      </w:r>
    </w:p>
    <w:p>
      <w:r>
        <w:rPr>
          <w:b/>
        </w:rPr>
        <w:t>E. 5.6</w:t>
      </w:r>
    </w:p>
    <w:p>
      <w:r>
        <w:t>Cela dit, d'autres éléments plaident également en défaveur de la minorité alléguée, son récit contenant plusieurs incohérences et contradictions en ce qui concerne son âge.</w:t>
      </w:r>
    </w:p>
    <w:p>
      <w:r>
        <w:rPr>
          <w:b/>
        </w:rPr>
        <w:t>E. 5.6.1</w:t>
      </w:r>
    </w:p>
    <w:p>
      <w:r>
        <w:t>Interrogé sur les circonstances dans lesquelles sa mère lui avait indiqué sa date de naissance, il a répondu ce qui suit : « mon père avait noté les dates de naissance de mes frères et soeurs sur une feuille et je voyais ça souvent » (cf. procès-verbal [ci-après : pv] de l'audition du 3 juillet 2023, pt 1.06). Il est, dans ces circonstances, pour le moins singulier qu'il n'ait pas été en mesure de donner l'âge précis de ses soeurs et de son frère, cela d'autant plus qu'il a déclaré que cette question faisait parfois l'objet de discussion au sein de la famille (cf. pv précité, question n° 1.06 et 3.01).</w:t>
      </w:r>
    </w:p>
    <w:p>
      <w:r>
        <w:rPr>
          <w:b/>
        </w:rPr>
        <w:t>E. 5.6.2</w:t>
      </w:r>
    </w:p>
    <w:p>
      <w:r>
        <w:t>Par ailleurs, à la question de savoir s'il avait été interrogé par les autorités allemandes, il a répondu, de manière pour le moins évasive, « je ne sais pas, car j'étais dans une voiture » (cf. pv précité, question n° 2.06), respectivement « je ne me souviens pas ». Une telle réponse n'est pas cohérente avec les données « Eurodac », lesquelles mentionnent expressément que le requérant a déposé une demande d'asile en Allemagne. Aussi a-t-il forcément été en contact avec les autorités de ce pays. Contrairement à ce qu'il fait valoir dans son recours, un oubli ne saurait s'expliquer uniquement par son jeune âge, ni par des pertes de mémoire, celles-ci étant, d'après le journal de soins du 11 juillet 2023, davantage en lien avec les « petites choses de la vie quotidienne » (ce que son récit, qui lui est dans son ensemble détaillé, vient confirmer).</w:t>
      </w:r>
    </w:p>
    <w:p>
      <w:r>
        <w:rPr>
          <w:b/>
        </w:rPr>
        <w:t>E. 5.6.3</w:t>
      </w:r>
    </w:p>
    <w:p>
      <w:r>
        <w:t>Sans que cela ne soit décisif, il est également curieux de constater que l'intéressé dispose de photocopies de sa carte d'identité et de son certificat de naissance, mais d'aucune copie de son passeport, alors qu'il ne pouvait ignorer l'importance de ce document (cf. pv précité, question n° 4.02).</w:t>
      </w:r>
    </w:p>
    <w:p>
      <w:r>
        <w:rPr>
          <w:b/>
        </w:rPr>
        <w:t>E. 5.6.4</w:t>
      </w:r>
    </w:p>
    <w:p>
      <w:r>
        <w:t>Finalement, constitue un indice supplémentaire, certes faible dans la mesure où les circonstances de l'enregistrement de l'identité en Allemagne n'ont pas été investiguées plus avant, de la majorité du recourant, le fait que celui-ci ait été considéré comme majeur, né le (...) , par les autorités de ce pays, respectivement que celles-ci aient accepté la requête de reprise en charge. Il est néanmoins intéressant de constater que l'âge qu'elles ont retenu (soit [...] ans) coïncide parfaitement avec l'âge moyen (de 20 à 24 ans) indiqué dans l'expertise médico-légale du 3 août 2023.</w:t>
      </w:r>
    </w:p>
    <w:p>
      <w:r>
        <w:rPr>
          <w:b/>
        </w:rPr>
        <w:t>E. 5.7</w:t>
      </w:r>
    </w:p>
    <w:p>
      <w:r>
        <w:t>Il ressort des considérations qui précèdent que les éléments plaidant en défaveur de la date de naissance et, partant, de la minorité alléguée par le recourant l'emportent clairement sur les seules affirmations de ce dernier.</w:t>
      </w:r>
    </w:p>
    <w:p>
      <w:r>
        <w:rPr>
          <w:b/>
        </w:rPr>
        <w:t>E. 5.8</w:t>
      </w:r>
    </w:p>
    <w:p>
      <w:r>
        <w:t>Il s'ensuit que le SEM était fondé à considérer que l'intéressé était majeur au moment du dépôt de sa demande d'asile en Suisse. Le recourant n'ayant pas établi sa minorité et sa majorité étant hautement vraisemblable, il ne peut se prévaloir des dispositions de fond ou de procédure particulières édictées en faveur des requérants d'asile mineurs (non accompagnés), avant tout des art. 8 par. 4 du règlement Dublin III ainsi que des art. 3 et 8 de la Convention du 20 novembre 1989 relative aux droits de l'enfant (CDE ; RS 0.107).</w:t>
      </w:r>
    </w:p>
    <w:p>
      <w:r>
        <w:rPr>
          <w:b/>
        </w:rPr>
        <w:t>E. 5.9</w:t>
      </w:r>
    </w:p>
    <w:p>
      <w:r>
        <w:t>Pour le reste, force est de retenir que le recourant n'est pas parvenu à établir la haute vraisemblance de la rectification requise s'agissant de sa date de naissance (procédure D-6062/2023). En conséquence, il ne se justifie pas de procéder à celle-là, le SEM ayant retenu à raison comme date de naissance principale celle du (...). Puisque l'exactitude de cette donnée personnelle ne peut toutefois être, en rigueur de terme, prouvée étant rappelé qu'elle demeure fictive , c'est à bon droit que le SEM a fait mention de son caractère litigieux (art. 41 al. 4 LPD). La conclusion tendant à l'annulation de la décision attaquée et au renvoi de la cause au SEM pour instruction complémentaire (procédures D-5766/2023 et D-6062/2023) est ainsi rejetée. Il en va de même de celle tendant à la rectification des données dans SYMIC (procédure D-6062/2023 ; cf. recours du 3 novembre 2023, p. 28).</w:t>
      </w:r>
    </w:p>
    <w:p>
      <w:r>
        <w:rPr>
          <w:b/>
        </w:rPr>
        <w:t>E. 6.1</w:t>
      </w:r>
    </w:p>
    <w:p>
      <w:r>
        <w:t>Il y a lieu à ce stade d'examiner si le SEM était fondé à faire application de l'art. 31a al. 1 let. b LAsi (procédure D-5766/2023),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6.4</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6.5.1</w:t>
      </w:r>
    </w:p>
    <w:p>
      <w:r>
        <w:t>En l'occurrence, comme exposé précédemment, les investigations entreprises par le SEM ont révélé, après consultation de l'unité centrale du système européen "Eurodac", que le recourant avait déposé une demande d'asile en Allemagne, le 9 juin 2023.</w:t>
      </w:r>
    </w:p>
    <w:p>
      <w:r>
        <w:rPr>
          <w:b/>
        </w:rPr>
        <w:t>E. 6.5.2</w:t>
      </w:r>
    </w:p>
    <w:p>
      <w:r>
        <w:t>Fondé sur ce qui précède, le SEM a soumis aux autorités allemandes compétentes, le 9 août 2023, dans le délai fixé à l'art. 23 par. 2 RD III, une demande aux fins de reprise en charge de l'intéressé, en application de l'art. 18 par. 1 let. b RD III.</w:t>
      </w:r>
    </w:p>
    <w:p>
      <w:r>
        <w:rPr>
          <w:b/>
        </w:rPr>
        <w:t>E. 6.5.3</w:t>
      </w:r>
    </w:p>
    <w:p>
      <w:r>
        <w:t>Le 10 août 2023, soit dans le respect du délai de l'art. 25 par. 1 RD III, l'Allemagne a expressément accepté de reprendre en charge l'intéressé sur la base de l'art. 18 par. 1 let. b RD III.</w:t>
      </w:r>
    </w:p>
    <w:p>
      <w:r>
        <w:rPr>
          <w:b/>
        </w:rPr>
        <w:t>E. 6.5.4</w:t>
      </w:r>
    </w:p>
    <w:p>
      <w:r>
        <w:t>Ainsi, la responsabilité de l'Allemagne, au sens du RD III, est acquise, point qui n'est d'ailleurs pas contesté.</w:t>
      </w:r>
    </w:p>
    <w:p>
      <w:r>
        <w:rPr>
          <w:b/>
        </w:rPr>
        <w:t>E. 7.1</w:t>
      </w:r>
    </w:p>
    <w:p>
      <w:r>
        <w:t>Durant son audition RMNA, l'intéressé a indiqué avoir été obligé de déposer ses empreintes en Allemagne et avoir toujours voulu venir vivre en Suisse.</w:t>
      </w:r>
    </w:p>
    <w:p>
      <w:r>
        <w:rPr>
          <w:b/>
        </w:rPr>
        <w:t>E. 7.2</w:t>
      </w:r>
    </w:p>
    <w:p>
      <w:r>
        <w:t>Il sied tout d'abord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w:t>
      </w:r>
    </w:p>
    <w:p>
      <w:r>
        <w:rPr>
          <w:b/>
        </w:rPr>
        <w:t>E. 7.3</w:t>
      </w:r>
    </w:p>
    <w:p>
      <w:r>
        <w:t>Par ailleurs, il n'y a aucune sérieuse raison de croire qu'il existe, en Allemagne, des défaillances systémiques dans la procédure d'asile et les conditions d'accueil des demandeurs, qui entraînent un risque de traitement inhumain ou dégradant au sens de l'art. 4 de la Charte UE et qui commanderaient l'application de l'art. 3 par. 2 al. 2 du règlement Dublin III. Le requérant ne le fait d'ailleurs pas valoir dans son recours. En tout état de cause, en procédant au relevé des empreintes digitales du recourant au moment de son interpellation et à la transmission dudit relevé au système central « Eurdoac », les autorités allemandes se sont conformées à leurs obligations découlant de l'art. 9 par. 1 et de l'art. 14 par. 1 du règlement (UE) n° 603/2013 du Parlement européen et du Conseil du 26 juin 2013 relatif à la création d'« Eurodac » pour la comparaison des empreintes digitales aux fins de l'application efficace du règlement Dublin III (JO L 180/1, du 29.06.2013). Néanmoins, rien au dossier ne permet de dire que ledit prélèvement aurait eu lieu de force.</w:t>
      </w:r>
    </w:p>
    <w:p>
      <w:r>
        <w:rPr>
          <w:b/>
        </w:rPr>
        <w:t>E. 7.4</w:t>
      </w:r>
    </w:p>
    <w:p>
      <w:r>
        <w:t>A cet égard, il convient de rappeler que cet Etat est lié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Allemagne de violation systématique des normes communautaires en la matière, la présomption de respect par cet Etat de ses obligations concernant les droits des requérants d'asile sur son territoire n'est pas renversée (cf. ATAF 2011/35 consid. 4.11 et 2010/45 consid. 7.4 et 7.5; cf. notamment arrêt du TAF E-3438/2023 du 22 juin 2023 pp. 6 et 7).</w:t>
      </w:r>
    </w:p>
    <w:p>
      <w:r>
        <w:rPr>
          <w:b/>
        </w:rPr>
        <w:t>E. 7.5</w:t>
      </w:r>
    </w:p>
    <w:p>
      <w:r>
        <w:t>La présomption de sécurité peut également être renversée par des indices sérieux que, dans le cas concret, les autorités de cet Etat ne respecteraient pas le droit international (cf. ATAF 2010/45 consid. 7.4 et 7.5). De tels indices font clairement défaut. Le recourant n'a en effet fourni aucun élément concret susceptible de démontrer que l'Allemagne ne respecterait pas le principe du non-refoulement, et donc faillirait à ses obligations internationales en le renvoyant dans un pays (en particulier son pays d'origine) où sa vie, son intégrité corporelle ou sa liberté seraient sérieusement menacées, ou encore d'où il risquerait d'être astreint à se rendre dans un tel pays (cf. arrêt du Tribunal D-6036/2022 du 12 janvier 2023 p. 8).</w:t>
      </w:r>
    </w:p>
    <w:p>
      <w:r>
        <w:rPr>
          <w:b/>
        </w:rPr>
        <w:t>E. 8.1</w:t>
      </w:r>
    </w:p>
    <w:p>
      <w:r>
        <w:t>En vertu des art. 17 par. 1 du règlement Dublin III et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Tribunal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w:t>
      </w:r>
    </w:p>
    <w:p>
      <w:r>
        <w:rPr>
          <w:b/>
        </w:rPr>
        <w:t>E. 8.2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8.3</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119-120; N. c. Royaume Uni du 27 mai 2008, n° 26565/05, § 42 ss; décisions E.O. c. Italie du 10 mai 2012, n° 34724/10, § 38 ss; Ndangoya c. Suède du 22 juin 2004, n° 17868/03, p. 12-13 ; ATAF 2011/9 consid. 7.1).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(cf. arrêts Paposhvili c. Belgique du 13 décembre 2016, n° 41738/10, § 181-183 et Savran c. Danemark [GC] du 7 décembre 2021, requête n° 57467/2015 ; également arrêt de la Cour de justice de l'Union européenne du 16 février 2017 dans l'affaire C-578/16 C. K, H. F., A. S. c. Republika Slovenija, point 68).</w:t>
      </w:r>
    </w:p>
    <w:p>
      <w:r>
        <w:rPr>
          <w:b/>
        </w:rPr>
        <w:t>E. 8.4</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Dublin III-Verordnung, 2014, K 9 ad art. 27).</w:t>
      </w:r>
    </w:p>
    <w:p>
      <w:r>
        <w:rPr>
          <w:b/>
        </w:rPr>
        <w:t>E. 8.5</w:t>
      </w:r>
    </w:p>
    <w:p>
      <w:r>
        <w:t>En l'espèce, il ressort des pièces médicales au dossier (cf. notamment rapports médicaux succincts des 17 juillet et 27 octobre 2023), que le requérant souffre d'anhédonie, d'anxiété, de troubles du sommeil et de l'adaptation, d'envies auto-agressives, de comportement auto-dommageable, d'isolement et de problèmes de vues. Plus spécifiquement, un état de stress post-traumatique et un épisode dépressif sévère (sans symptômes psychotiques) lui ont été diagnostiqués ; un traitement médicamenteux à base d'antidépresseurs et d'anxiolytiques notamment lui a été prescrit.</w:t>
      </w:r>
    </w:p>
    <w:p>
      <w:r>
        <w:rPr>
          <w:b/>
        </w:rPr>
        <w:t>E. 8.6</w:t>
      </w:r>
    </w:p>
    <w:p>
      <w:r>
        <w:t>Sans minimiser les affections dont souffre l'intéressé, il y a lieu de retenir qu'elles n'apparaissent pas d'une gravité telle que le transfert litigieux serait illicite au sens restrictif de la jurisprudence. En particulier, il ne résulte aucunement des pièces produites que le recourant ne serait pas en mesure de voyager ou que son transfert représenterait en tant que tel un danger concret pour sa santé. Par ailleurs, dans l'hypothèse où, confronté à l'obligation de retourner en Allemagne, l'intéressé devait présenter des idées suicidaires, il appartiendrait à ses thérapeutes, respectivement aux autorités suisses chargées de la mise en oeuvre de l'exécution du transfert de tenir compte de son état de santé psychique au moment de son refoulement effectif et de prendre les mesures qui pourraient alors être éventuellement nécessaires pour en prévenir la réalisation, en veillant à informer préalablement les autorités allemandes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Enfin, au besoin, il incombera aux autorités suisses chargées de l'exécution du transfert de transmettre à leurs homologues allemands, en temps utile, les renseignements permettant une prise en charge médicale adéquate du recourant (art. 31 et 32 RD III).</w:t>
      </w:r>
    </w:p>
    <w:p>
      <w:r>
        <w:rPr>
          <w:b/>
        </w:rPr>
        <w:t>E. 8.7</w:t>
      </w:r>
    </w:p>
    <w:p>
      <w:r>
        <w:t>A toutes fins utiles, il est précisé que, dans la mesure où il n'existe pas de raison de penser que le recourant est âgé de moins de dix-huit ans, celui-ci ne peut pas se prévaloir de l'application de dispositions de la Convention relative aux droits de l'enfant.</w:t>
      </w:r>
    </w:p>
    <w:p>
      <w:r>
        <w:rPr>
          <w:b/>
        </w:rPr>
        <w:t>E. 8.8</w:t>
      </w:r>
    </w:p>
    <w:p>
      <w:r>
        <w:t>Par conséquent, le transfert du recourant vers l'Allemagne n'est pas contraire aux obligations découlant des dispositions conventionnelles auxquelles la Suisse est liée.</w:t>
      </w:r>
    </w:p>
    <w:p>
      <w:r>
        <w:rPr>
          <w:b/>
        </w:rPr>
        <w:t>E. 8.9</w:t>
      </w:r>
    </w:p>
    <w:p>
      <w:r>
        <w:t>Enfin, le Tribunal constate que contrairement aux arguments avancés dans le recours,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 let. b LAsi, et a prononcé son transfert de Suisse vers l'Allemagne, en application de l'art. 44 LAsi, aucune exception à la règle générale du renvoi n'étant réalisée (art. 32 OA 1).</w:t>
      </w:r>
    </w:p>
    <w:p>
      <w:r>
        <w:rPr>
          <w:b/>
        </w:rPr>
        <w:t>E. 9</w:t>
      </w:r>
    </w:p>
    <w:p>
      <w:r>
        <w:t>En conclusion, l'ensemble des conclusions des recours sont rejetées et la décision attaquée confirmée.</w:t>
      </w:r>
    </w:p>
    <w:p>
      <w:r>
        <w:rPr>
          <w:b/>
        </w:rPr>
        <w:t>E. 10</w:t>
      </w:r>
    </w:p>
    <w:p>
      <w:r>
        <w:t>Les demandes d'effet suspensif et de dispense d'avance des frais de procédure sont devenues sans objet avec le présent prononcé ; les mesures superprovisionnelles ordonnées, le 23 octobre 2023, sont désormais caduques.</w:t>
      </w:r>
    </w:p>
    <w:p>
      <w:r>
        <w:rPr>
          <w:b/>
        </w:rPr>
        <w:t>E. 11</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Dans la mesure où les conclusions des recours n'étaient pas d'emblée vouées à l'échec et où le recourant peut être tenu pour indigent,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