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D-5766/2010 vom 20. Oktober 2010</w:t>
      </w:r>
    </w:p>
    <w:p>
      <w:r>
        <w:t>Bundesverwaltungsgericht, 2010-10-20, DE</w:t>
      </w:r>
    </w:p>
    <w:p>
      <w:r>
        <w:rPr>
          <w:b/>
        </w:rPr>
        <w:t xml:space="preserve">Quelle: </w:t>
      </w:r>
      <w:r>
        <w:t>https://mcp.opencaselaw.ch/entscheid/bvger_D-5766_2010</w:t>
      </w:r>
    </w:p>
    <w:p>
      <w:r>
        <w:t>FR: TAF D-5766/2010 du 20 octobre 2010</w:t>
      </w:r>
    </w:p>
    <w:p>
      <w:r>
        <w:t>IT: TAF D-5766/2010 del 20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Beschwerdebegründung macht der Beschwerdeführer im Wesentlichen geltend, anlässlich der BzP habe er Probleme mit dem Dolmetscher gehabt und sich nicht frei und umfassend äussern können, weshalb von nachgeschobenen Vorbringen keine Rede sein könne. Ausserdem habe das BFM gewisse Vorbringen insofern nicht korrekt interpretiert, als es sich bei seinen Angaben zu den Ereignissen vom 7. Oktober 2008 nicht um Widersprüche, sondern um sich ergänzende Angaben handle. Des Weiteren seien die Schilderungen des Beschwerdeführers nicht wirklichkeitsfremd ausgefallen. So sei die geltend gemachte Flucht des Beschwerdeführers aus dem Büro des Beamten möglich gewesen, weil keine Sicherheitsbeamte dort gewesen seien. Bis zum Anrücken der Polizei habe sich der Beschwerdeführer längst entfernen können. Genau sowenig sei der illegale Aufenthalt seines Vaters im Iran seit dem Jahre 2001 wirklichkeitsfremd, wie ein Blick auf die Verhältnisse in der Schweiz nahelege.</w:t>
      </w:r>
    </w:p>
    <w:p>
      <w:r>
        <w:rPr>
          <w:b/>
        </w:rPr>
        <w:t>E. 5.2</w:t>
      </w:r>
    </w:p>
    <w:p>
      <w:r>
        <w:t>Diese Vorbringen in der Beschwerdeschrift vermögen indessen nicht zu einer veränderten Betrachtungsweise zu führen. Bekanntlich handelt es sich beim Beschwerdeführer unbestrittenermassen um einen irakischen Staatsangehörigen, der auch nach eigenen Angaben im Heimatstaat keiner Verfolgung unterliegt. Der Umstand, dass ihm nach eigener Einschätzung eine allfällige Integration im Heimatstaat aus sprachlichen, politischen oder sonstigen Gründen sehr schwer fallen würde, ändert daran ebenso wenig wie seine Abneigung gegen das dortige Klima (A15/19 F131 S. 15). Dementsprechend fällt eine Anerkennung des Beschwerdeführers als Flüchtling ausser Betracht. Was im Übrigen die angebliche Verfolgung im Iran anbelangt, so sind die entsprechenden Vorbringen widersprüchlich ausgefallen. So machte der Beschwerdeführer zunächst sinngemäss geltend, er habe am 7. Oktober 2008 nicht bei den iranischen Behörden vorgesprochen (A15/19 F102 - F107 S. 12). Erst nachdem er von sich aus ein Streitgespräch mit den Behörden erwähnt hatte, machte er auf Nachfrage hin geltend, dieses habe am 7. Oktober 2008 stattgefunden, und er habe doch noch von seinem Arbeitgeber die Erlaubnis erhalten, den Arbeitsort für ein oder zwei Stunden zu verlassen (A15/19 F110 - F113 S. 13). Hätte er bei seinen Schilderungen auf Erinnerungen an tatsächliche Begebenheiten zurückgreifen können, hätte er bereits im Zusammenhang mit den Fragen 104 und 105 klarstellen können und müssen, dass er die iranischen Behörden am 7. Oktober 2008 aufsuchte und Mühe hatte, hiefür die Erlaubnis seines Arbeitgebers zu erhalten. Bezeichnenderweise ist auch die Schilderung des Fluchtwegs nach Dubai widersprüchlich ausgefallen (A7/25 Ziff. 16 S. 9, A15/19 F136 S. 15), macht es doch einen Unterschied, ob die Reise auf einem Lastwagen oder in einem Boot absolviert wurde. Dementsprechend erweisen sich die Vorbringen des Beschwerdeführers zur angeblichen Verfolgung im Iran als unglaubhaft.</w:t>
      </w:r>
    </w:p>
    <w:p>
      <w:r>
        <w:rPr>
          <w:b/>
        </w:rPr>
        <w:t>E. 5.3</w:t>
      </w:r>
    </w:p>
    <w:p>
      <w:r>
        <w:t>Aufgrund der vorstehenden Erwägungen besteht kein Anlass, auf die weiteren Ausführungen in der Beschwerde im Einzelnen einzugehen, weil sie am Ergebnis nichts ändern können. Unter Berücksichtigung der gesamten Umstände folgt, dass der Beschwerdeführer keine Gründe nach Art. 3 AsylG nachweisen oder glaubhaft machen konnte. Das Bundesamt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Diese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EMARK 2001 Nr. 1, E. 6a, S. 2). Gegen eine allfällige Aufhebung der vorläufigen Aufnahme steht dem weggewiesenen Asylsuchenden wiederum die Beschwerde an das Bundesverwaltungsgericht offen (vgl. Art. 105 AsylG i.V.m. Art. 84 Abs. 2 AuG). In diesem Verfahren wäre dann der Wegweisungsvollzug vor dem Hintergrund sämtlicher Vollzugshindernisse von Amtes wegen nach Massgabe der in diesem Zeitpunkt herrschenden Verhältnisse (vgl. EMARK 1997 Nr. 27, S. 205 ff.) zu prüfen.</w:t>
      </w:r>
    </w:p>
    <w:p>
      <w:r>
        <w:rPr>
          <w:b/>
        </w:rPr>
        <w:t>E. 7.3</w:t>
      </w:r>
    </w:p>
    <w:p>
      <w:r>
        <w:t>Nachdem vorliegend bereits das BFM in seiner angefochtenen Verfügung die vorläufige Aufnahme des Beschwerdeführers in der Schweiz anordnete, entfällt die Prüfung allfälliger weiterer Wegweisungshindernisse.</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auf insgesamt Fr. 600.-- festzusetzen (Art. 1 - 3 des Reglements vom 21. Februar 2008 über die Kosten und Entschädigungen vor dem Bundesverwaltungsgericht [VGKE, SR 173.320.2]) und mit dem am 1. September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