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D-5760/2009 vom 15. März 2011</w:t>
      </w:r>
    </w:p>
    <w:p>
      <w:r>
        <w:t>Bundesverwaltungsgericht, 2011-03-15, DE</w:t>
      </w:r>
    </w:p>
    <w:p>
      <w:r>
        <w:rPr>
          <w:b/>
        </w:rPr>
        <w:t xml:space="preserve">Quelle: </w:t>
      </w:r>
      <w:r>
        <w:t>https://mcp.opencaselaw.ch/entscheid/bvger_D-5760_2009</w:t>
      </w:r>
    </w:p>
    <w:p>
      <w:r>
        <w:t>FR: TAF D-5760/2009 du 15 mars 2011</w:t>
      </w:r>
    </w:p>
    <w:p>
      <w:r>
        <w:t>IT: TAF D-5760/2009 del 15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eingewendet, aus den Akten würden sich keine Anhaltspunkte dafür ergeben, dass die allgemeine Glaubwürdigkeit des Beschwerdeführers angezweifelt werden müsste. Dennoch habe das BFM in der angefochtenen Verfügung ausgeführt, der Beschwerdeführer habe das Verschweigen seines Aufenthaltes in G. bei der Anhörung vom 12. Juli 2006 nicht nachvollziehbar erklären können, was "seine per­sönliche Unglaubwürdigkeit im Anschluss an das erste Asylverfahren zu­sätzlich einschränke." Es sei nicht genau verständlich, was das BFM mit dieser Feststellung meine. Sollte sie so gemeint sein, dass die Angaben des Beschwerdeführers insgesamt als lügenhaft zu qualifizieren seien, würde dies den Erkenntnissen der Aussagepsychologie - auf welche sich die Vorinstanz offensichtlich berufe - widersprechen. Ein lügenhafter Cha­rakter sei äusserst selten; viel häufiger sei Lügen hinsichtlich bestimm­ter Fakten. Der Beschwerdeführer habe jedenfalls hinsichtlich seiner familiären Herkunft die Wahrheit gesagt. Diese Fakten würden durch zahl­reiche Beweismittel belegt. Hinzu komme, dass der G.-Auf­ent­halt im Jahr 2005 kaum etwas mit den Fluchtgründen des Beschwerde­führers zu tun habe. Er sei mit einer Gruppe von Studenten auf einer Aus­landsreise dort gewesen. Bei der - durchaus etwas unüblichen - Rück­kehr habe er den (...) Behörden falsche Personalien ge­nannt, damit er beim Grenzübertritt in die Türkei nicht festgenommen wer­de (vgl. Beschwerde S. 5). Eine Überprüfung der Akten ergibt, dass sich die vorinstanzlichen Erwägun­gen, wonach das Vorbringen des Beschwerdeführers, er sei zu Hause ge­sucht worden, nachdem er zusammen mit seinem Studienkollegen in der gemeinsamen Wohnung in B. einem PKK-Angehörigen für eine Nacht Unterkunft gewährt habe, den Anforderungen an die Glaubhaft­ma­chung nicht genüge, als zutreffend erweisen (vgl. Bst. D). Die Ausfüh­run­gen in der Beschwerde sind nicht geeignet, daran etwas zu ändern. Wird sodann mit dem Beschwerdeführer davon ausgegangen, dass sein G.-Aufenthalt im Jahr 2005 kaum etwas mit den Fluchtgründen zu tun hat, ist das Verschweigen dieses Auslandaufenthaltes durchaus geeig­net, die persönliche Glaubwürdigkeit des Beschwerdeführers einzuschrän­ken, zumal dieser anlässlich der Erstbefragung vom 23. Dezember 2005 ausdrücklich danach gefragt wurde, ob er bereits einmal im Ausland ge­wesen sei, was er verneinte (vgl. Vorakten). Dasselbe gilt in Be­zug auf seine Aussagen im Zusammenhang mit dem ihm dazu gewähr­ten rechtlichen Gehör, welche - wie die Überprüfung der Akten ergibt - von der Vorinstanz in zutreffender Weise als nicht schlüssig qualifiziert wur­den. Vor diesem Hintergrund erfahren die erheblichen Zweifel an den gel­tend gemachten Verfolgungsvorbringen eine weitere Bestätigung, wenn in der Beschwerde zum einen eingewendet wird, der G.-Auf­enthalt habe kaum etwas mit den Fluchtgründen zu tun, und zum anderen in Widerspruch dazu zur Begründung der Verwendung falscher Per­sonalien in G. sogleich angeführt wird, der Beschwerdeführer habe den (...) Behörden falsche Personalien genannt, damit er bei der Rückreise anlässlich des Grenzübertritts in die Türkei nicht fest­ge­nommen werde. Nach dem Gesagten teilt das Bundesverwaltungsgericht die Einschätzung der Vorinstanz, wonach im Verlauf des zweiten Asylverfahrens zu den bereits anlässlich des ersten Asylverfahrens gemachten Feststellungen neue Elemente hinzugekommen sind, welche die Unglaubhaftigkeit der Asylbegründung des Beschwerdeführers erhärten.</w:t>
      </w:r>
    </w:p>
    <w:p>
      <w:r>
        <w:rPr>
          <w:b/>
        </w:rPr>
        <w:t>E. 4.2</w:t>
      </w:r>
    </w:p>
    <w:p>
      <w:r>
        <w:t>Der Beschwerdeführer weist darauf hin, dass ihm aufgrund seines Alters nächstens die Ableistung des Militärdiensts bevorstehe. Dies werde auch vom BFM anerkannt. Im Falle eines Aufgebots würde er sich den Mili­tärbehörden nicht stellen, weil er nicht gegen Kurden kämpfen wolle. Die Türkei sehe bis heute keine gesetzliche Ersatzdienstmöglichkeit für Dienst­verweigerer vor und Dienstverweigerung und -versäumnis würden mit recht hohen Freiheitsstrafen bedroht (vgl. Beschwerde S. 6 f.). Eine allfällige Bestrafung des Beschwerdeführers aus militärrechtlichen Grün­den wäre gestützt auf die bisherige Praxis der ARK, welche vom Bun­desverwaltungsgericht weitergeführt wird, nur unter bestimmten Voraus­setzungen relevant (vgl. Entscheidungen und Mitteilungen der Schwei­zerischen Asylrekurskommission [EMARK] 2004 Nr. 2). Dies ist dann der Fall, wenn der Beschwerdeführer damit zu rechnen hätte, dass er aus flüchtlingsrechtlich relevanten Motiven mit einer unverhältnismässig strengen Bestrafung zu rechnen hätte, sei es, weil er aufgrund der im AsylG erwähnten Kriterien eine höhere Strafe zu verbüssen hätte oder weil mit der drohenden Strafe nicht nur die Sicherstellung der Wehrpflicht ga­rantiert, sondern zusätzlich die vermutete oppositionelle und staatsfeind­liche Gesinnung sanktioniert werden sollte. Eine flüchtlingsrechtlich re­levante Verfolgung wäre auch dann zu bejahen, wenn mit der Absolvierung des Militärdienstes beabsichtigt würde, gewisse Personen oder Perso­nengruppen aus flüchtlingsrechtlich erheblichen Motiven zu disziplinieren, einzuschüchtern, zu assimilieren oder einer menschenrechtswidrigen Be­handlung auszusetzen. Als politische Verfolgung schliesslich müsste die Bestrafung einer militärdienstflüchtigen Person erachtet werden, wenn die Armee, der sie sich entzieht, völkerrechtswidrige Ziele anstrebte oder ent­sprechende Mittel einsetzte (vgl. EMARK 2004 Nr. 2 E. 6.b.aa S. 17). Gestützt auf die Aktenlage ist vorliegend selbst im Fall einer Bestrafung des Beschwerdeführers aus militärrechtlichen Gründen nicht von einer der erwähnten Ausnahmen auszugehen. So haben sich seine auf einer an­geblichen Unterstützung der PKK beruhenden Verfolgungsvorbringen als unglaubhaft erwiesen. Zudem ist aus dem Strafrahmen von Art. 63 des türkischen Militärstrafgesetzbuches, welcher eine Höchststrafe von drei Jahren Gefängnis vorsieht, nicht auf eine Sanktionierung zu schliessen, welche neben der militärrechtlichen Gesetzesverletzung auch die Ge­sinnung treffen will. Zudem ist der Militärdienst in der Türkei für alle er­wach­senen Männer obligatorisch und zielt nicht darauf ab, gewisse Per­so­nen oder Personengruppen in der zuvor beschriebenen Art zu behan­deln. Überdies bestehen trotz des angeblich familiären politischen Hin­ter­grunds des Beschwerdeführers keine Hinweise auf einen Malus oder ande­re drohende, aus Art. 3 AsylG fliessende Nachteile. Die vom Be­schwer­de­führer allenfalls zu gewärtigenden Sanktionen vermögen somit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Nach Erkenntnissen des Bundesverwaltungsgerichts wer­den die Re­kruten nach dem Zufallsprinzip per Computer den verschie­denen Einhei­ten zugeteilt. Schliesslich wäre auch nicht mit einem Ein­satz im Ausnah­mezustandsgebiet zu rechnen, zumal der ehemals ver­häng­te Ausnah­me­zustand in der Türkei schon seit einiger Zeit in allen Ge­bieten aufgeho­ben worden ist. Unter den erwähnten Umständen wäre eine allfällige Bestra­fung des Beschwerdeführers wegen Militärdienstverwei­gerung vorliegend als legitime staatliche Massnahme zur Durchsetzung einer staatsbür­gerlichen Pflicht und damit als asylrechtlich nicht rele­vant zu charakteri­sieren.</w:t>
      </w:r>
    </w:p>
    <w:p>
      <w:r>
        <w:rPr>
          <w:b/>
        </w:rPr>
        <w:t>E. 4.3</w:t>
      </w:r>
    </w:p>
    <w:p>
      <w:r>
        <w:t>Der Beschwerdeführer hält daran fest, dass er wegen seiner Herkunft aus einer bekannten politisch auf der Seite der kurdischen Opposition ste­henden Familie und als naher Verwandter von separatistischen Guerilla­kämpferinnen und -kämpfern im Fall der Rückkehr in die Türkei mit Verfol­gungsmassnahmen rechnen müsse. Zwar treffe zu, dass er bis zu seiner Ausreise in die Schweiz keine schwer wiegenden Behelligungen erlitten habe. Die lange dauernde nachrichtenlose Abwesenheit führe jedoch die türkischen Sicherheitskräfte zum dringenden Verdacht, er habe sich in die­ser Zeit der Guerilla der PKK angeschlossen und auf deren Seite gegen die Armee gekämpft (vgl. Beschwerde S. 7 f.). Im Zusammenhang mit der geltend gemachten Reflexverfolgung ist vorweg auf die entsprechenden Erwägungen in der angefochtenen Verfügung zu verweisen, welche sich nach einer Überprüfung der Akten als zutref­fend erweisen. Daran vermag nicht zu ändern, dass der Bruder Mehmet des Beschwerdeführers in der Schweiz als Flüchtling anerkannt, (...) in der Schweiz Asyl gewährt wur­de und sich (...), gemäss den Ausführungen in der Beschwerde seit kurzer Zeit als Asylsuchende in der Schweiz befindet. Diesbezüglich ist auch auf die Erwägungen im Urteil der ARK vom 21. März 2006 zu verweisen, wonach alleine das Beschwerdevorbringen be­treffend Abstammung von einer "politischen Familie" den Schluss auf eine rechtserhebliche landesweite Verfolgung von staatlicher Seite nicht zu­lässt. Weiter vermag der Beschwerdeführer aus den von ihm eingereich­ten Unterlagen nichts zu seinen Gunsten abzuleiten, zumal diesen - in Übereinstimmung mit der Vorinstanz - nur wenig Beweiswert zugemes­sen werden kann und eine allfällige Suche nach dem Beschwerdeführer auf dessen noch ausstehenden Militärdienst zurückzuführen ist, wel­cher - wie bereits erwähnt - keine asylbeachtliche Verfolgungsmassnah­me dar­stellt. Sodann stand der Beschwerdeführer offensichtlich auch nicht in einer exponierten politischen Stellung. Was schliesslich den in Ko­pie (...) an­belangt, betrifft dieser (...). Zusammenfassend teilt das Bundesverwaltungsgericht nach dem Gesagten die Einschätzung, dass den geltend gemachten behördlichen Nachfor­schungen keine asylrelevante Intensität zukommt.</w:t>
      </w:r>
    </w:p>
    <w:p>
      <w:r>
        <w:rPr>
          <w:b/>
        </w:rPr>
        <w:t>E. 4.4</w:t>
      </w:r>
    </w:p>
    <w:p>
      <w:r>
        <w:t>In der Beschwerde wird schliesslich auf ein gleichzeitig zu den Akten ge­reichtes Foto Bezug genommen, welches anlässlich einer Demonstration der kurdisch-türkischen Bewegung aufgenommen worden sei, worauf der Beschwerdeführer als Ordnungskraft erkennbar sei. Durch seine exilpo­litischen Aktivitäten in der Schweiz habe er sich einem zusätzlichen Ver­folgungsrisiko ausgesetzt (vgl. Beschwerde S. 10 und Foto). Dazu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Nr. 2000 Nr. 16 E. 5a S. 141 f. mit weiteren Hin­wei­sen). 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Ent­schei­de des Schweizerischen Bundesverwaltungsgerichts [BVGE] 2009/28).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w:t>
      </w:r>
    </w:p>
    <w:p>
      <w:r>
        <w:rPr>
          <w:b/>
        </w:rPr>
        <w:t>E. 4.4.1</w:t>
      </w:r>
    </w:p>
    <w:p>
      <w:r>
        <w:t>Auf dem eingereichten Foto sind unter anderen (...) Personen erkenn­bar, welche an einer prokurdischen Kundgebung ein Transparent mit ent­sprechender Aufschrift halten, wobei es sich bei der einen der beiden Per­sonen um den Beschwerdeführer handeln soll. Diese Aktivität ist als niederschwellige, reine Mitläufertätigkeit zu qualifizieren. Selbst wenn die türkischen Behörden von dieser überhaupt Kennt­nis genommen hätten, wäre nicht davon auszugehen, dass es ihnen gelun­gen wäre, den Beschwerdeführer zu identifizieren. Dem Foto ist nicht zu entnehmen, dass sich der Beschwerdeführer bei Kundgebungen oder bei der Organisation von solchen besonders und über das Mass der an­de­ren Personen hinaus exponiert oder eine in der Öffentlichkeit heraus­ra­gen­de Führungsposition innegehabt hätte. Des Weiteren ist aus den Ak­ten nirgends ersichtlich, dass der Be­schwerdeführer im Zusammenhang mit seinen exilpolitischen Aktivitäten in den Medien namentlich erwähnt wor­den ist, so dass eine einfache Identifizierung möglich wäre. Es ist davon auszugehen, dass sich die türkischen Geheimdienste auf die Er­fas­sung von Personen konzentrieren, welche über die massentypischen Erschei­nungsformen exilpolitischer Proteste hinaus Funktionen wahr­neh­men und/oder Aktivitäten entwickeln, die sie aus der Masse der mit dem Re­gime Unzufriedenen herausheben und als ernsthafte und poten­tiell gefähr­liche Regimegegner erscheinen lassen.</w:t>
      </w:r>
    </w:p>
    <w:p>
      <w:r>
        <w:rPr>
          <w:b/>
        </w:rPr>
        <w:t>E. 4.4.2</w:t>
      </w:r>
    </w:p>
    <w:p>
      <w:r>
        <w:t>Aufgrund der vorstehenden Erwägungen ergibt sich, dass die gel­tend gemachten exilpolitischen Aktivitäten nicht geeignet sind, eine flüchtlings­rechtlich relevante Verfolgungsfurcht zu begründen, weshalb der Beschwer­deführer nicht als Flüchtling anzuerkennen ist. Mithin ist nach dem Ge­sagten den Beschwerdeführer betreffend nicht vom Vorliegen subjektiver Nachfluchtgründe im Sinne von Art. 54 AsylG auszugehen.</w:t>
      </w:r>
    </w:p>
    <w:p>
      <w:r>
        <w:rPr>
          <w:b/>
        </w:rPr>
        <w:t>E. 4.5</w:t>
      </w:r>
    </w:p>
    <w:p>
      <w:r>
        <w:t>Nach dem Gesagten erweisen sich die vom Beschwerdeführer geltend gemachten Verfolgungsvorbringen zum einen als nicht glaubhaft und zum andern als asyl- beziehungsweise flüchtlingsrechtlich nicht relevant. Auf­grund der vorstehenden Erwägungen erübrigt es sich, auf die weiteren Aus­führungen in der Beschwerde, die übrigen Eingaben und die Beweismit­tel einzugehen, weil sie am Ergebnis nichts ändern können. Das BFM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seinem Heimatstaat lässt den Weg­wei­sungs­vollzug zum heutigen Zeitpunkt klarerweise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würden. Sodann bestehen auch keine anderen Hinweise, dass der Be­schwerdeführer bei einer Rückkehr in den Heimatstaat in eine kon­kre­te, seine Existenz bedrohende Situation geraten könnte. Er be­sitzt in der Türkei, wo (...) wohnhaft sind, ein fa­mi­li­ä­res Bezie­hungsnetz. Zudem hat er (...) ab­ge­schlos­sen und (...) absolviert. Angesichts der gesamten Umstände kann der Vollzug der Wegweisung - entgegen der in der Rechtsmitteleingabe vertrete­nen Auffassung - auch als zumutbar bezeichnet werden.</w:t>
      </w:r>
    </w:p>
    <w:p>
      <w:r>
        <w:rPr>
          <w:b/>
        </w:rPr>
        <w:t>E. 6.4</w:t>
      </w:r>
    </w:p>
    <w:p>
      <w:r>
        <w:t>Die bisherigen Bestimmungen betreffend vorläufige Aufnahme in­folge einer schwerwiegenden persönlichen Notlage (Art. 14a Abs. 4bis ANAG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In casu wurde durch den zuständigen Kanton kein Antrag auf Erteilung einer Aufenthaltsbewilligung gestellt.</w:t>
      </w:r>
    </w:p>
    <w:p>
      <w:r>
        <w:rPr>
          <w:b/>
        </w:rPr>
        <w:t>E. 6.5</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6.6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sind die Kosten auf Fr. 600.- fest­zu­setzen (vgl. Art. 1 - 3 des Reglements vom 21. Februar 2008 über die Kos­ten und Ent­schädigungen vor dem Bundesverwaltungsge­richt [VGKE, SR 173.320.2]) und dem Beschwerdeführer aufzuerlegen (Art. 63 Abs. 1 und 5 VwVG). Das in der Beschwerde gestellte Gesuch um Gewährung der unentgeltlichen Rechtspflege (Art. 65 Abs. 1 VwVG) ist abzuweisen. Zwar erwies sich die Beschwerde zum Zeitpunkt der Einreichung als nicht aus­sichtslos. Aufgrund der Aktenlage ist indes nicht mehr von der prozes­sua­len Bedürftigkeit des Beschwerdeführers auszugehen, zumal dieser seit Januar 2007 erwerbstätig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