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D-5759/2012 vom 19. März 2013</w:t>
      </w:r>
    </w:p>
    <w:p>
      <w:r>
        <w:t>Bundesverwaltungsgericht, 2013-03-19, DE</w:t>
      </w:r>
    </w:p>
    <w:p>
      <w:r>
        <w:rPr>
          <w:b/>
        </w:rPr>
        <w:t xml:space="preserve">Quelle: </w:t>
      </w:r>
      <w:r>
        <w:t>https://mcp.opencaselaw.ch/entscheid/bvger_D-5759_2012</w:t>
      </w:r>
    </w:p>
    <w:p>
      <w:r>
        <w:t>FR: TAF D-5759/2012 du 19 mars 2013</w:t>
      </w:r>
    </w:p>
    <w:p>
      <w:r>
        <w:t>IT: TAF D-5759/2012 del 19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unter Angabe der jeweiligen Fundstellen in den Protokollen (Erstbefragung/direkte Bundesanhörung) ausführlich dargelegt, weshalb die Ausführungen des Beschwerdeführers den Anforderungen an die Glaubhaftigkeit gemäss Art. 7 AsylG nicht genügen. Eine Überprüfung durch das Bundesverwaltungsgericht ergibt, dass die dem Beschwerdeführer vom BFM vorgeworfenen Unglaubhaftigkeitselemente Stütze in den Akten finden. Zur Vermeidung von Wiederholungen kann daher vollumfänglich auf die nicht zu beanstandenden Erwägungen in der angefochtenen Verfügung verwiesen werden (vgl. auch Bst. D hiervor).</w:t>
      </w:r>
    </w:p>
    <w:p>
      <w:r>
        <w:rPr>
          <w:b/>
        </w:rPr>
        <w:t>E. 4.2</w:t>
      </w:r>
    </w:p>
    <w:p>
      <w:r>
        <w:t>Dem von der Vorinstanz herangezogenen Begründungselement im Zusammenhang mit der Vorladung des Vaters im Mai 2010 wegen der zweiten Demonstrationsteilnahme des Beschwerdeführers (Protokoll EVZ S. 6 und 7) ist der Vollständigkeit halber respektive zur Veranschaulichung hinsichtlich der in diesem Kontext unterschiedlich ausgefallenen Vorbringen des Beschwerdeführers hinzuzufügen, dass ihm seine im Südjemen lebende Tante ungefähr im Februar 2011 mitgeteilt haben soll, sein Vater sei wegen irgendwelcher Probleme im Gefängnis respektive dieser sei verhaftet worden (Protokoll direkte Bundesanhörung S. 3 und 13). Als zusätzliche, der Glaubhaftigkeit abträgliche Elemente sind unter anderem etwa die vom Beschwerdeführer geschilderten Ausreiseumstände zu nennen. Anlässlich der Erstbefragung gab er zu Protokoll, sich von seinem Wohnort (M.) nach G._______ begeben zu haben und von dort auf dem Luftweg mit einem auf seinen Namen ausgestellten Pass, der sein Lichtbild (Foto) und ein Visum für ein unbekanntes Land enthalten habe, an einen unbekannten Ort ausgereist zu sein (Protokoll EVZ S. 8). Bei der Bundesanhörung führte er dagegen aus, von seinem Aufenthaltsort A. nie mehr nach Hause zurückgekehrt, sondern vom Schlepper mit einem Zwischenhalt direkt zum Flughafen von G._______ gebracht worden zu sein, von wo aus er an einen unbekannten Ort ausgereist sei, wobei die Aussa­gen zu den Reisedokumenten gegenüber der Erstbefragung recht vage ausgefallen sind (Protokoll direkte Bundesanhörung S. 13 und 14). Auf Vorhalt hin konnte der Beschwerdeführer keine überzeugende Erklärungen für die diesbezüglich unterschiedlich ausgefallenen Schilderungen liefern (der Schlepper habe den Pass auf sich getragen; Ort des Aufbruchs zur Ausreise beruhe auf einem Missverständnis). Insgesamt sind die aufgezeigten Unstimmigkeiten und Ungereimtheiten in den Kernpunkten der Asylbegründung des für jemenitische Verhältnisse überdurchschnittlich gebildeten Beschwerdeführers (Anzahl Schuljahre) derart gewichtig, dass es ihm nicht gelingt, eine (asyl-)relevante Gefährdungssituation glaubhaft darzulegen. Die Aus­führungen des Beschwerdeführers lassen vielmehr den Schluss zu, dass andere Gründe massgebend für die Ausreise gewesen sein müssen, mithin sein Sachvortrag als konstruierte Geschichte zu werten ist.</w:t>
      </w:r>
    </w:p>
    <w:p>
      <w:r>
        <w:rPr>
          <w:b/>
        </w:rPr>
        <w:t>E. 4.3</w:t>
      </w:r>
    </w:p>
    <w:p>
      <w:r>
        <w:t>Die Ausführungen in der Rechtsmitteleingabe sind nicht geeignet, eine Änderung der angefochtenen Verfügung zu bewirken. Der festgestellte Sachverhalt wird lediglich wiederholt und die gegen die vorinstanzlichen Erwägungen gerichteten Vorbringen müssen als nachträgliche sachverhaltsanpassende und damit unbehelfliche Erklärungsversuche gewertet werden. Die von der Vorinstanz aufgezeigten Unglaubhaftigkeitselemente werden weder entkräftet noch beseitigt. Die unterschiedlichen Angaben des Beschwerdeführers zu den Umständen des Beitritts bei der Jugendorganisation werden eingestanden. Mit der Berufung auf dessen Minderjährigkeit bei der Erstanhörung respektive dessen Verwirrtheit sowie Angst aufgrund der langen Reise und der erst wenige Monate zurückliegenden Ereignisse im Heimatland ist festzuhalten, dass dem entsprechenden Protokoll keine Anhaltspunkte zu entnehmen sind, wonach der Beschwerdeführer nicht in der Lage gewesen wäre, ausgerechnet den Behörden, bei denen er um Schutz nachsucht, seine Gründe für das Verlassen des Heimatlandes darzulegen. Nach der freien Erzählung zu den Gesuchsgründen, welche er als vollständig bezeichnete, wurde der Beschwerdeführer anschliessend ausführlich und konkret zu den geltend ge­machten Gründen, die ihn zum Verlassen des Heimatlandes bewogen ha­ben, befragt. Auffälligkeiten, Unregelmässigkeiten oder Bemerkungen, welche auf allfällige Verständigungsschwierigkeiten in seinen protokollierten Aussagen hinweisen könnten, sind nicht ersichtlich. Die Dolmetscherleistung bezeichnete er wiederholt als gut. Die in diesem Zusammenhang weiter abgegebene Begründung, wonach es sich hierbei nicht um einen Widerspruch sondern um eine Ergänzung handle, kann nicht gehört werden. Keine Klärung wird auch hinsichtlich der Frage des Zeitpunkts des Beitritts bei der Jugendorganisation herbeigeführt. So erklärte der Beschwerdeführer bei der Erstbefragung, als Mitglied einer Jugend-Union verschiedene Demos gemacht zu haben und im Juli 2009 erneut demon­striert zu haben. Die Erklärung in der Rechtsmitteleingabe, die erste Aktivität für die Organisation sei im Juli 2009 gewesen und zuvor hätten bloss erste Kontakte bestanden, erweist sich nach dem Gesagten gar als unzutreffend. Nicht nachvollziehbar in zeitlicher Hinsicht erweist sich die Argu­mentation bezüglich der Dauer der erlittenen Haft im April 2010. Demnach soll der Beschwerdeführer am gleichen Tag, an dem die Demonstration (tagsüber) stattgefunden hat, nach 24 Stunden nachts freigelassen worden sein. Hinsichtlich der Ausführungen im Zusammenhang mit den dem Vater aus der angeblichen Aktivität des Beschwerdeführers resultierenden Nachteilen kann auf die obigen Erwägungen (E. 4.1 und 4.2) verwiesen werden. Nicht näher einzugehen braucht sodann auf den in diesem Zusammenhang eingereichten Brief des Vaters des Beschwerdeführers. Lediglich der Vollständigkeit halber sei hierzu vermerkt, dass die in diesem Brief enthaltene Aussage des Vaters, er sei "juste après ta (des Be­schwerdeführers) fuite" verhaftet worden, nicht im Einklang mit den diesbezüglich vom Beschwerdeführer gemachten Vorbringen steht. Die pauschalen Ausführungen in der Stellungnahme vom 3. Januar 2013 fördern keine näheren, zugunsten des Beschwerdeführers sprechende Hinweise für diesem drohende Nachteile im Falle einer Rückkehr in den Je­men zu Tage. Gleichermassen verhält es sich mit den nicht weiter konkret auf die Person des Beschwerdeführers bezogenen Ausführungen in der Beschwerde (Ziff. 3 S. 4 und 5). Im Sinne einer Gesamtwürdigung sind die vom Beschwerdeführer geltend gemachten Vorbringen, die ihn zur Aus­reise aus dem Heimatland bewogen haben, als unglaubhaft zu erachten.</w:t>
      </w:r>
    </w:p>
    <w:p>
      <w:r>
        <w:rPr>
          <w:b/>
        </w:rPr>
        <w:t>E. 4.4</w:t>
      </w:r>
    </w:p>
    <w:p>
      <w:r>
        <w:t>Zu prüfen bleibt im Folgenden, ob die auf Beschwerdeebene erstmals erwähnte Mitgliedschaft bei der TAJ Schweiz sowie die Teilnahme an einer Sitzung der Organisation im Jahre 2011 nachteilige Konsequenzen flüchtlingsrechtlichen Ausmasses für den Beschwerdeführer im Fall einer Rückkehr ins Heimatland zur Folge haben könnten. Bezüglich der Gefährdung von Personen, welche sich für die Unabhängigkeit des Südjemens einsetzen, ist vorab auf die Erwägungen 3.2.4.1 und 3.2.4.2 S. 9 und 10 im Urteil D-656/2010 des Bundesverwaltungsgerichts vom 22. März 2012 zu verweisen. Dies rechtfertigt sich insofern, als das entsprechende Urteil der im damaligen Verfahren mandatierten Rechtsver­treterin zugestellt wurde, welche auch die Interessen des Beschwerdeführers im vorliegenden Verfahren wahrnimmt. Sodann bestehen - wie die Vor­instanz in ihrer Vernehmlassung vom 14. Dezember 2012 zutreffend fest­hielt - namhafte Zweifel an der Ernsthaftigkeit des politischen Engagements des Beschwerdeführers. Wie oben bereits ausgeführt, konnten dem Beschwerdeführer die geltend gemachten politischen Aktivitäten und die ihm angeblich daraus resultierenden Konsequenzen nicht geglaubt wer­den. Diese Feststellung erfährt zusätzlich noch dadurch an Gewicht, als er doch anlässlich der direkten Bundesanhörung im Zusammenhang mit diversen Fragen respektive Nachfragen zum Jugendverein des Südens (Itihad Schabad al-Janub), bei dem er Mitglied gewesen sein will, unter anderem zu Protokoll gab, er interessiere sich ehrlich gesagt weder für diesen Verein noch für die Politik. Seine Aktivität nach der Ausreise im Diens­te der TAJ Schweiz muss als marginal bezeichnet werden und es be­steht kein Anlass zur Annahme, der Beschwerdeführer könnte dadurch in den Fokus der jemenitischen Behörden geraten sein. An dieser Feststel­lung vermag auch das von der Vorinstanz in seiner Vernehmlassung un­zutreffend genannte Ausstellungsdatum des Mitgliederausweises des Be­schwerdeführers bei der TAJ nichts zu ändern.</w:t>
      </w:r>
    </w:p>
    <w:p>
      <w:r>
        <w:rPr>
          <w:b/>
        </w:rPr>
        <w:t>E. 4.5</w:t>
      </w:r>
    </w:p>
    <w:p>
      <w:r>
        <w:t>Zusammenfassend ist festzustellen, dass der Beschwerdeführer nicht dar­zutun vermochte, dass er einer Verfolgung im Sinne von Art. 3 AsylG aus­gesetzt war oder begründete Furcht hat, einer solchen aus­gesetzt wer­den zu können. Er kann daher nicht als Flüchtling aner­kannt werden. Die Vorinstanz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E.10.2).</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6.4.2</w:t>
      </w:r>
    </w:p>
    <w:p>
      <w:r>
        <w:t>Die Vorinstanz führt in ihrer abweisenden Verfügung aus, dass weder die im Heimatstaat des Beschwerdeführers herrschende politische Situation noch andere Gründe gegen eine Zumutbarkeit der Rückführung sprechen würden. Insbesondere sprächen in individueller Hinsicht keine Gründe gegen die Zumutbarkeit des Wegweisungsvollzugs des Beschwerdeführers, da es sich bei ihm um einen jungen, gesunden und alleinstehenden Mann aus M. in der Provinz Abyan handle, welcher bis zu seiner Ausreise mit seinen Eltern und seinen Brüdern im gleichen Haus gewohnt habe, wohin er zurückkehren könne. Gemäss Angaben des Beschwerdeführers hätte die Familie vom Einkommen des Vaters gut leben können.</w:t>
      </w:r>
    </w:p>
    <w:p>
      <w:r>
        <w:rPr>
          <w:b/>
        </w:rPr>
        <w:t>E. 6.4.3</w:t>
      </w:r>
    </w:p>
    <w:p>
      <w:r>
        <w:t>Demgegenüber führte der Beschwerdeführer anlässlich der Anhörung wie auch in der Beschwerde aus, dass er keinen Kontakt mehr mit seiner Familie in M. habe, da er keinen Kontakt habe herstellen können. Die auf Beschwerdeebene eingereichten Beweismittel (Brief des Vaters) wurden dem Beschwerdeführer von Saudi Arabien aus zugestellt.</w:t>
      </w:r>
    </w:p>
    <w:p>
      <w:r>
        <w:rPr>
          <w:b/>
        </w:rPr>
        <w:t>E. 6.4.4</w:t>
      </w:r>
    </w:p>
    <w:p>
      <w:r>
        <w:t>Eine Situation, welche den Beschwerdeführer als "Gewalt- oder de-facto-Flüchtling" qualifizieren würde, lässt sich aufgrund der heuti­gen Situation in Jemen zwar nicht in genereller Form bejahen. Es stellt sich jedoch die Frage, wie sich die Situation in Bezug auf die Provinz Abyan, aus welcher der Beschwerdeführer stammt, präsentiert: Im Jahre 2011 hatte der jemenitische Präsident Ali Abdullah Saleh viele Soldaten aus dem Süden abgezogen und an konfliktreicheren Orten eingesetzt. In der Folge konnten Mitglieder der "Al Qaida auf der arabischen Halbinsel" und der ihr nahestehenden extremistischen Gruppierung "Ansar al Sharia" ab Mai 2011 die Kontrolle über mehrere Städte in Abyan und der Nachbarprovinz Shabwa übernehmen. Nach dem Rücktritt des Präsidenten im November 2011 auf der Grundlage der Initiative des Golfkooperationsrates, fanden im Februar 2012 Wahlen statt, bei denen Abdrabur Mansour Hadi als Übergangspräsident bestätigt wurde. Im Sommer 2012 gelang es dem jemenitischen Militär mit Unterstützung von Stammeskämpfern und amerikanischen Drohnenangriffen, die Kontrolle über eine Reihe strategischer Stellungen in den Provinzen Abyan und Shabwa zurückzugewinnen. Die Situation hat sich in diesen Provinzen seit der erfolgreichen Offensive zwar verbessert und die extremistischen Gruppierungen haben über keine Stadt im Süden mehr die Kontrolle inne. Berichten zufolge ist die humanitäre Situation in der Provinz Abyan jedoch nach wie vor prekär und die Sicherheitslage instabil und volatil (Internal displacement monitioring centre: Internal displacement continues amid multiple crisis vom 17.12.2012). Desweiteren brachen im Februar 2013 erneut Kämpfe zwischen den Regierungstruppen und den Extremisten in der Provinz Abyan aus.</w:t>
      </w:r>
    </w:p>
    <w:p>
      <w:r>
        <w:rPr>
          <w:b/>
        </w:rPr>
        <w:t>E. 6.4.5</w:t>
      </w:r>
    </w:p>
    <w:p>
      <w:r>
        <w:t>In Anbetracht dieser Umstände ist die Argumentation des BFM, welche pauschal davon ausgeht, dass der Beschwerdeführer zu seiner Familie nach M. zurückgehen könne, ungenügend. Wenn auch mit der Vorinstanz dahingehend übereinzustimmen ist, dass der Beschwerdeführer unglaubhafte Aussagen zu seinen Ausreisegründen machte, so ist dennoch zur Feststellung des rechtserheblichen Sachverhalts die Situation in seinem Heimatland genügend abzuklären. Dass der Beschwerdefüh­rer aus der Provinz Abyan stammt hat die Vorinstanz nie bestritten. Indem sie dennoch ohne weitere Abklärung der humanitären- und Sicherheits­situation feststellte, der Beschwerdeführer könne in diese Provinz pro­blemlos zurück, verletzte sie jedoch die ihr obliegende Pflicht zur Abklä­rung des Sachverhaltes gemäss Art. 12 VwVG i.V.m. Art. 6 AsylG.</w:t>
      </w:r>
    </w:p>
    <w:p>
      <w:r>
        <w:rPr>
          <w:b/>
        </w:rPr>
        <w:t>E. 7</w:t>
      </w:r>
    </w:p>
    <w:p>
      <w:r>
        <w:t>Aus diesen Erwägungen ergibt sich, dass die angefochtene Verfügung Bun­desrecht verletzt, da sie bezüglich der Zumutbarkeit des Wegweisungs­vollzugs den rechtserheblichen Sachverhalt nicht richtig und vollständig feststellt (Art. 106 AsylG). Die Beschwerde ist nach dem Gesagten in Bezug auf den Vollzugspunkt der Wegweisung insofern gutzuheissen, als die Sache in dieser Frage zur Feststellung des rechtserheblichen Sach­verhalts an die Vorinstanz zurückgewiesen wird. In Bezug auf die Frage der Flüchtlingseigenschaft und der Gewährung des Asyls, wie auch die Anordnung der Wegweisung, ist sie abzuweisen.</w:t>
      </w:r>
    </w:p>
    <w:p>
      <w:r>
        <w:rPr>
          <w:b/>
        </w:rPr>
        <w:t>E. 8.1</w:t>
      </w:r>
    </w:p>
    <w:p>
      <w:r>
        <w:t>Bei diesem Ausgang des Verfahrens wären die reduzierten Verfahrens­kosten dem Beschwerdeführer aufzuerlegen (Art. 63. Abs. 1 VwVG). Da ihm jedoch die unentgeltliche Rechtspflege gemäss Art. 65 Abs. 1 VwVG gewährt wurde, sind ihm keine Kosten aufzuerlegen. Die Beschwerdeinstanz kann der teilweise obsiegenden Partei von Amtes wegen oder auf Begehren eine Entschädigung für ihr erwachsene, notwendige und verhältnismässig hohe Kosten zusprechen. Vorliegend ist praxisgemäss von einem Durchdringen mit der Beschwerde zu einem Drittel auszugehen. Somit ist ihm eine angemessene, um zwei Drittel reduzierte Parteientschädigung zu entrichten (Art. 64 Abs. 1 VwVG i.V. m. Art. 7 Abs. 1 und 2 des Reglements vom 21. Februar 2008 über die Kosten und Entschädigungen vor dem Bundesverwaltungs­gericht [VGKE, SR 173.320.2]). Die Rechtsvertreterin des Beschwerdeführers hat keine Kostennote zu den Akten gereicht. Auf das Einfordern einer solchen kann jedoch verzichtet werden, da der Aufwand für das Gericht zuverlässig abschätzbar ist (Art. 14 Abs. 2 VGKE). Die vom BFM zu entrichtende Partei­entschädigung ist demnach auf Fr. 400.-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