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D-5757/2022 vom 8. Dezember 2022</w:t>
      </w:r>
    </w:p>
    <w:p>
      <w:r>
        <w:t>Bundesverwaltungsgericht, 2022-12-08, DE</w:t>
      </w:r>
    </w:p>
    <w:p>
      <w:r>
        <w:rPr>
          <w:b/>
        </w:rPr>
        <w:t xml:space="preserve">Quelle: </w:t>
      </w:r>
      <w:r>
        <w:t>https://mcp.opencaselaw.ch/entscheid/bvger_D-5757_2022_d20221208</w:t>
      </w:r>
    </w:p>
    <w:p>
      <w:r>
        <w:t>FR: TAF D-5757/2022 du 8 décembre 2022</w:t>
      </w:r>
    </w:p>
    <w:p>
      <w:r>
        <w:t>IT: TAF D-5757/2022 del 8 dicembre 2022</w:t>
      </w:r>
    </w:p>
    <w:p>
      <w:pPr>
        <w:pStyle w:val="Heading2"/>
      </w:pPr>
      <w:r>
        <w:t>Regeste</w:t>
      </w:r>
    </w:p>
    <w:p>
      <w:r>
        <w:t>Nichteintreten auf Asylgesuch und Wegweisung (Dublin-Verfahren - Art. 31a Abs. 1 Bst. b AsylG) | Nichteintreten auf Asylgesuch und Wegweisung (Dublin-Verfahren); Verfügung des SEM vom 8. Dezember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Die in der Formularbeschwerde enthaltene Begründung ist zwar handschriftlich in Englisch und damit nicht in einer in Verfahren vor den Behörden des Bundes zu verwendenden Amtssprache – in der Regel Deutsch, Französisch oder Italienisch – verfasst (Art. 70 Abs. 1 BV und Art. 33a Abs. 1 VwVG). Aus prozessökonomischen Gründen kann jedoch auf eine Übersetzung derselben verzichtet werden, da die Begründung ohne weiteres verständlich ist. Auf die frist- und – abgesehen vom sprach- lichen Mangel – formgerecht eingereichte Beschwerde ist daher einzutre- ten (Art. 108 Abs. 3 AsylG; Art. 105 AsylG i.V.m. Art. 37 VGG und Art. 52 Abs. 1 VwVG).</w:t>
      </w:r>
    </w:p>
    <w:p>
      <w:r>
        <w:rPr>
          <w:b/>
        </w:rPr>
        <w:t>E. 2</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D-5757/2022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Im Rahmen eines Wiederaufnahmever- fahrens (engl.: take back) wie im vorliegenden Fall findet grundsätzlich keine (erneute) Zuständigkeitsprüfung nach Kapitel III statt (vgl. zum Gan- 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 gilt auch im Rahmen des take-back Verfahrens. Liegen indivi- duelle völkerrechtliche Überstellungshindernisse vor, ist der Selbsteintritt zwingend (vgl. BVGE 2015/9 E. 8.2.1).</w:t>
      </w:r>
    </w:p>
    <w:p>
      <w:r>
        <w:t>D-5757/2022 Seite 6</w:t>
      </w:r>
    </w:p>
    <w:p>
      <w:r>
        <w:rPr>
          <w:b/>
        </w:rPr>
        <w:t>E. 5</w:t>
      </w:r>
    </w:p>
    <w:p>
      <w:r>
        <w:t>Vorliegend ergab ein Abgleich der Fingerabdrücke des Beschwerdeführers mit der Eurodac-Datenbank, dass dieser am 3. Dezember 2022 in Öster- reich um Asyl ersucht hatte. Das SEM ersuchte deshalb die österreichi- schen Behörden am 23. November 2022 um Wiederaufnahme des Be- schwerdeführers gestützt auf Art. 18 Abs. 1 Bst. b Dublin-III-VO. Diese lies- sen das Rückübernahmeersuchen innert der in Art. 25 Abs. 1 Dublin-III-VO vorgesehenen Frist unbeantwortet, womit sie die Zuständigkeit implizit an- erkannten (Art. 25 Abs. 2 Dublin-III-VO). Die grundsätzliche Zuständigkeit Österreichs ist somit gegeben.</w:t>
      </w:r>
    </w:p>
    <w:p>
      <w:r>
        <w:rPr>
          <w:b/>
        </w:rPr>
        <w:t>E. 6</w:t>
      </w:r>
    </w:p>
    <w:p>
      <w:r>
        <w:t>Der Beschwerdeführer bringt in seiner Beschwerde (teilweise sinngemäss) vor, er sei vor der Machtübernahme durch die Taliban Angestellter einer ausländischen Firma in Afghanistan gewesen und habe deswegen viele Probleme in seiner Heimat gehabt. Er erhebe Beschwerde gegen den Nichteintretensentscheid des SEM, um seiner Rechte nicht verlustig zu ge- hen.</w:t>
      </w:r>
    </w:p>
    <w:p>
      <w:r>
        <w:rPr>
          <w:b/>
        </w:rPr>
        <w:t>E. 7.1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D-5329/2022 vom 25. November 2022 S. 8 und F-5074/2022 vom 11. November 2022 S. 5).</w:t>
      </w:r>
    </w:p>
    <w:p>
      <w:r>
        <w:rPr>
          <w:b/>
        </w:rPr>
        <w:t>E. 7.2</w:t>
      </w:r>
    </w:p>
    <w:p>
      <w:r>
        <w:t>Österreich ist Signatarstaat der EMRK, des Übereinkommens vom</w:t>
      </w:r>
    </w:p>
    <w:p>
      <w:r>
        <w:rPr>
          <w:b/>
        </w:rPr>
        <w:t>E. 7.3</w:t>
      </w:r>
    </w:p>
    <w:p>
      <w:r>
        <w:t>Unter diesen Umständen ist die Anwendbarkeit von Art. 3 Abs. 2 Dub- lin-III-VO nicht gerechtfertigt. 8. 8.1 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 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 ten Hinweise für die Annahme dargelegt, Österreich würde ihm dauerhaft die ihm gemäss Aufnahmerichtlinie zustehenden minimalen Lebensbedin- gungen vorenthalten. Bei einer allfälligen vorübergehenden Einschränkung könnte er sich im Übrigen nötigenfalls an die österreichischen Behörden wenden und die ihm zustehenden Aufnahmebedingungen auf dem Rechts- weg einfordern (vgl. Art. 26 Aufnahmerichtlinie). 8.2 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9. Die Vorinstanz ist demnach zu Recht in Anwendung von Art. 31a Abs. 1 Bst. b AsylG auf das Asylgesuch des Beschwerdeführers nicht eingetreten und hat – weil er nicht im Besitz einer gültigen Aufenthalts- oder Niederlas- sungsbewilligung ist – in Anwendung von Art. 44 AsylG die Überstellung nach Österreich angeordnet (Art. 32 Bst. a AsylV 1).</w:t>
      </w:r>
    </w:p>
    <w:p>
      <w:r>
        <w:t>D-5757/2022 Seite 8</w:t>
      </w:r>
    </w:p>
    <w:p>
      <w:r>
        <w:rPr>
          <w:b/>
        </w:rPr>
        <w:t>E. 8.1</w:t>
      </w:r>
    </w:p>
    <w:p>
      <w:r>
        <w:t>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8.2</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w:t>
      </w:r>
    </w:p>
    <w:p>
      <w:r>
        <w:t>Die Gesuche um Gewährung der aufschiebenden Wirkung und um Verzicht auf die Erhebung eines Kostenvorschusses werden mit dem vorliegenden Entscheid gegenstandslos.</w:t>
      </w:r>
    </w:p>
    <w:p>
      <w:r>
        <w:rPr>
          <w:b/>
        </w:rPr>
        <w:t>E. 12</w:t>
      </w:r>
    </w:p>
    <w:p>
      <w:r>
        <w:t>Das Gesuch um Gewährung der unentgeltlichen Prozessführung ist abzu- weisen, da die Begehren – wie sich aus den vorstehenden Erwägungen ergibt – als aussichtslos zu bezeichnen sind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D-5757/2022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