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D-5748/2012 vom 21. Oktober 2014</w:t>
      </w:r>
    </w:p>
    <w:p>
      <w:r>
        <w:t>Bundesverwaltungsgericht, 2014-10-21, FR</w:t>
      </w:r>
    </w:p>
    <w:p>
      <w:r>
        <w:rPr>
          <w:b/>
        </w:rPr>
        <w:t xml:space="preserve">Quelle: </w:t>
      </w:r>
      <w:r>
        <w:t>https://mcp.opencaselaw.ch/entscheid/bvger_D-5748_2012</w:t>
      </w:r>
    </w:p>
    <w:p>
      <w:r>
        <w:t>FR: TAF D-5748/2012 du 21 octobre 2014</w:t>
      </w:r>
    </w:p>
    <w:p>
      <w:r>
        <w:t>IT: TAF D-5748/2012 del 21 ottobre 2014</w:t>
      </w:r>
    </w:p>
    <w:p>
      <w:pPr>
        <w:pStyle w:val="Heading2"/>
      </w:pPr>
      <w:r>
        <w:t>Regeste</w:t>
      </w:r>
    </w:p>
    <w:p>
      <w:r>
        <w:t>Exécution du renvoi</w:t>
      </w:r>
    </w:p>
    <w:p>
      <w:pPr>
        <w:pStyle w:val="Heading2"/>
      </w:pPr>
      <w:r>
        <w:t>Erwägungen</w:t>
      </w:r>
    </w:p>
    <w:p>
      <w:r>
        <w:rPr>
          <w:b/>
        </w:rPr>
        <w:t>E. 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2</w:t>
      </w:r>
    </w:p>
    <w:p>
      <w:r>
        <w:t>Les intéressés ont qualité pour recourir. Présenté dans la forme et dans le délai prescrits par la loi, le recours est recevable (art. 48 et 52 PA et 108 al. 1 LAsi).</w:t>
      </w:r>
    </w:p>
    <w:p>
      <w:r>
        <w:rPr>
          <w:b/>
        </w:rPr>
        <w:t>E. 3.1</w:t>
      </w:r>
    </w:p>
    <w:p>
      <w:r>
        <w:t>Conformément à l'art. 106 al. 1 LAsi, dans sa teneur en vigueur depuis le 1er février 2014, les recourants peuvent invoquer la violation du droit fédéral, notamment pour abus ou excès dans l'exercice du pouvoir d'appréciation (let. a), et l'établissement inexact ou incomplet de l'état de fait pertinent (let. b). Selon le ch. 1 des dispositions transitoires de la modification [de la loi sur l'asile] du 14 décembre 2012, les procédures pendantes à l'entrée en vigueur de cette modification sont régies par le nouveau droit, à l'exception des cas prévus aux al. 2 à 4 (cf. Arrêt du TAF D-3622/2011 du 8 octobre 2014 consid. 1.3 [prévu à publication]).</w:t>
      </w:r>
    </w:p>
    <w:p>
      <w:r>
        <w:rPr>
          <w:b/>
        </w:rPr>
        <w:t>E. 3.2</w:t>
      </w:r>
    </w:p>
    <w:p>
      <w:r>
        <w:t>La procédure de recours étant pendante et aucun des cas exceptionnels n'étant concerné, le nouveau droit dans le domaine de l'asile s'applique (cf. Arrêt du TAF consid. 1.3 précité).</w:t>
      </w:r>
    </w:p>
    <w:p>
      <w:r>
        <w:rPr>
          <w:b/>
        </w:rPr>
        <w:t>E. 3.3</w:t>
      </w:r>
    </w:p>
    <w:p>
      <w:r>
        <w:t>Pour autant que les dispositions du droit des étrangers doivent être appliquées, les recourants peuvent en outre invoquer l'inopportunité (art. 112 al. 1 de la loi fédérale sur les étrangers du 16 décembre 2005 [LEtr, RS 142.20] en relation avec l'art. 49 PA et l'art. 96 LEtr; Arrêt du TAF précité consid. 5.6 in fine).</w:t>
      </w:r>
    </w:p>
    <w:p>
      <w:r>
        <w:rPr>
          <w:b/>
        </w:rPr>
        <w:t>E. 4</w:t>
      </w:r>
    </w:p>
    <w:p>
      <w:r>
        <w:t>Les intéressés n'ont pas recouru contre la décision de l'ODM en tant qu'elle rejette leur demande d'asile et prononce leur renvoi de Suisse de sorte que, sous ces angles, dite décision a acquis force de chose décidée. L'examen de la cause se limitera donc à la question de l'exécution du renvoi des intéressés.</w:t>
      </w:r>
    </w:p>
    <w:p>
      <w:r>
        <w:rPr>
          <w:b/>
        </w:rPr>
        <w:t>E. 5.1</w:t>
      </w:r>
    </w:p>
    <w:p>
      <w:r>
        <w:t>L'exécution du renvoi est ordonnée si elle est licite, raisonnablement exigible et possible (art. 44 al. 2 LAsi). Si ces conditions ne sont pas réunies, l'admission provisoire doit en règle générale être prononcée. Celle-ci est réglée par l'art. 83 LEtr.</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w:t>
      </w:r>
    </w:p>
    <w:p>
      <w:r>
        <w:t>Les trois conditions posées par l'art. 83 al. 2 à 4 LEtr, empêchant l'exécution du renvoi (illicéité, inexigibilité et impossibilité) sont de nature alternative : il suffit que l'une d'elles soit réalisée pour que le renvoi soit inexécutable. En l'occurrence, c'est sur la question de l'exigibilité que le Tribunal portera son examen.</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8.1-8.3 p. 1002-1004). L'exécution du renvoi des personnes atteintes dans leur santé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(ATAF 2011/50 consid. 8.3 précité, ATAF 2009/2 consid. 9.3.2).</w:t>
      </w:r>
    </w:p>
    <w:p>
      <w:r>
        <w:rPr>
          <w:b/>
        </w:rPr>
        <w:t>E. 7.2.1</w:t>
      </w:r>
    </w:p>
    <w:p>
      <w:r>
        <w:t>En l'espèce, les recourants ont produit plusieurs documents qui illustrent et établissent l'état de santé de leur fille D._______ (cf. let. D et F supra). Selon le dernier diagnostic posé (cf. rapport médical du 26 décembre 2012), cette enfant présente un status post-traumatisme crânien sévère avec séquelles de contusions cérébrales multiples, un polyhandicap avec malvoyance (à savoir une cécité complète de l'oeil gauche, une vision partiellement conservée au niveau de l'oeil droit, et une ptose bilatérale), un syndrome cérébelleux de l'hémicorps droit, une hémiparésie spastique gauche (G 81) avec peu de mouvements spontanés du membre supérieur gauche; elle porte également un drain de dérivation ventriculo-péritonéal. En 2012, D._______ a pu intégrer une école spécialisée, où elle bénéficie d'un enseignement adapté et d'une rééducation ergothérapeutique, logopédique et physiothérapeutique (plusieurs séances par semaine), ce qui lui a permis de progresser lentement au niveau de sa mobilité et de la parole. Elle dispose également d'un fauteuil roulant ainsi que d'un logement et d'un moyen de transport adaptés. Elle bénéficie en outre d'un suivi très régulier par l'équipe de neuroorthopédie pédiatrique (tous les trois mois), de neurochirurgie pédiatrique (tous les six mois), d'ophtalmologie (une fois par mois), et de néphrologie pédiatrique (tous les six mois). En août 2013, elle a été opérée d'une suspension palpébrale de l'oeil droit, ce qui lui a permis d'améliorer quelque peu la vision de cet oeil qui était gênée par une ptose palpébrale importante. Les thérapeutes ont souligné, sur le plan du pronostic, que la rééducation mise en place visait à améliorer les compétences motrices et communicatives de l'enfant, de telle sorte que l'on pouvait s'attendre à des capacités de déplacements autonomes grâce à des moyens auxiliaires adaptés. En revanche, en cas d'interruption des thérapies mises en place, ils ont dit redouter l'absence de tout progrès au niveau moteur et de l'autonomie, mais également craindre des complications ostéoarticulaires à moyen ou long terme, une aggravation de la malvoyance, ainsi que des complications - fréquentes - liées au port du drain ventriculo-péritonéal, en précisant que l'absence de suivi et de traitements adéquats sur ce dernier point pouvait entraîner une obstruction et s'avérer fatale.</w:t>
      </w:r>
    </w:p>
    <w:p>
      <w:r>
        <w:rPr>
          <w:b/>
        </w:rPr>
        <w:t>E. 7.2.2</w:t>
      </w:r>
    </w:p>
    <w:p>
      <w:r>
        <w:t>Il est constant que D._______, aujourd'hui âgée de douze ans, souffre d'un handicap grave à expressions multiples, associant une déficience motrice et une déficience mentale sévère ou profonde, entraînant une restriction extrême de l'autonomie et des possibilités de perception, d'expression et de relation. Il est également démontré que ce polyhandicap très sévère a justifié une prise en charge pédiatrique multidisciplinaire et hautement spécialisée dont tout porte à croire qu'elle doit être envisagée sur le long terme. Il est également établi qu'en cas d'arrêt des traitements préconisés, de la rééducation ou des contrôles médicaux, l'enfant serait exposée à un risque certain d'aggravation de son état de santé pouvant aller jusqu'à la mettre concrètement en danger. Ainsi, que D._______ vive en Suisse ou en Macédoine, les traitements qui lui sont aujourd'hui dispensés peuvent néanmoins contribuer, comme indiqué par les thérapeutes, à améliorer ses compétences motrices et communicatives, à tel point que l'on peut espérer des capacités de déplacements autonomes grâce à des moyens auxiliaires adaptés. En leur absence, par contre, D._______ serait empêchée de progresser sur le plan de son autonomie et du développement de sa personnalité, autrement dit, condamnée à une existence quasi-végétative.</w:t>
      </w:r>
    </w:p>
    <w:p>
      <w:r>
        <w:rPr>
          <w:b/>
        </w:rPr>
        <w:t>E. 7.3.1</w:t>
      </w:r>
    </w:p>
    <w:p>
      <w:r>
        <w:t>Cela étant, le système de santé publique de la Macédoine est généralement en mesure d'offrir à ses affiliés de bonnes prestations médicales. Ce pays dispose d'un système d'assurance maladie qui permet un accès général aux soins standards. En principe, une participation aux frais médicaux est demandée jusqu'à un plafond de 20% (ticket modérateur). Une limite annuelle à la participation aux frais est en outre fixée pour les consultations et soins hospitaliers spécialisés et celle-ci est plus basse pour les familles à faible revenu. Les prestations offertes par cette assurance sont relativement généreuses dès lors qu'elle prend notamment en charge toutes les prestations médicales de base. Une participation des assurés à leurs frais de santé est avant tout requise pour des soins spécialisés, en particulier dans le domaine psychiatrique. Il y est toutefois renoncé lors de soins d'urgence ainsi que pour certaines catégories de personnes particulièrement défavorisées, notamment celles au bénéfice de prestations sociales ou séjournant dans des hôpitaux psychiatriques. Il peut dès lors être raisonnablement admis qu'un encadrement technique suffisant est en règle générale disponible en Macédoine, que le personnel médical y dispose des connaissances professionnelles nécessaires et que les médicaments prescrits, ou des substituts, peuvent être obtenus (cf. notamment arrêt du Tribunal administratif fédéral E-1719/2012 du 6 juin 2013).</w:t>
      </w:r>
    </w:p>
    <w:p>
      <w:r>
        <w:rPr>
          <w:b/>
        </w:rPr>
        <w:t>E. 7.3.2</w:t>
      </w:r>
    </w:p>
    <w:p>
      <w:r>
        <w:t>Toutefois, dans la pratique, les possibilités de financement par le biais du système de santé publique macédonien paraissent parfois trop aléatoires pour être prises en compte. A titre exemplatif, les personnes qui ne paient pas régulièrement leurs cotisations d'assurance-maladie, ou qui les paient avec 60 jours de retard, perdent leur droit aux prestations jusqu'à ce qu'elles aient réglé leur dette auprès du fonds d'assurance maladie. De plus, bien que la participation aux coûts soit fixée à environ 20%, indépendamment du revenu, les dépenses de santé payées par les patients s'élèvent plutôt à quelque 33%, selon l'Organisation Mondiale de la Santé. Dans les hôpitaux, en outre, les assurés doivent souvent payer leurs médicaments comptant, alors que, théoriquement, les factures y afférentes devraient être adressées directement à la caisse-maladie. D'après un rapport récent de l'ombudsman de Macédoine, les remboursements par la caisse-maladie sont très lents et ne couvrent souvent pas intégralement les montants originaux payés. Toujours selon ce rapport, de nombreuses personnes accèdent difficilement aux prestations de leur assurance-maladie vu les très longs délais de traitement des demandes de patients, parfois examinées après plusieurs années seulement. On estime également que 10% des enfants macédoniens sont sans assurance-maladie du fait que leurs parents ne sont eux-mêmes pas couverts. Enfin, si les personnes atteintes d'un handicap physique peuvent toucher une rente d'invalidité, l'accès à cette prestation est aussi rendu difficile par les lenteurs dans l'examen des requêtes, de sorte que pendant toute la durée des procédures engagées, de nombreux demandeurs n'ont pas de moyens d'existence garantis (cf. Organisation Suisse d'Aide aux Réfugiés [OSAR], Macédoine : soins médicaux et assurance-maladie pour handicapés physiques, Adrian Schuster, Berne, le 23 août 2012).</w:t>
      </w:r>
    </w:p>
    <w:p>
      <w:r>
        <w:rPr>
          <w:b/>
        </w:rPr>
        <w:t>E. 7.4.1</w:t>
      </w:r>
    </w:p>
    <w:p>
      <w:r>
        <w:t>Au vu de ce système macédonien, rien n'indique que les personnes d'ethnie albanaise ne pourraient pas accéder aux soins médicaux pour des motifs discriminatoires (cf. let. B supra). Par contre, les déclarations constantes des recourants, selon lesquelles ils ont dû renoncer à faire soigner adéquatement D._______ par manque de moyens financiers, du fait qu'ils n'étaient bénéficiaires ni des prestations de l'assurance maladie, ni de l'aide sociale ne sont pas douteuses. Ils ont dit n'avoir jamais eu accès à cette aide, malgré leurs demandes réitérées, sous prétexte qu'ils n'en remplissaient pas les conditions, ce qui rejoint les sources consultées qui relèvent le manque de soutien de l'aide sociale aux personnes vulnérables (cf. rapport de l'OSAR précité, p. 8). Dans ces conditions, il est crédible que, hormis l'hospitalisation d'urgence dont D._______ a bénéficié en Macédoine juste après son accident, aucune autre thérapie (pas même une physiothérapie) n'a été prise en charge par l'assurance-maladie de ce pays, l'intervention pratiquée au niveau de l'oeil en 2010 ayant été financée, elle, grâce à des bénévoles (environ 4'000 Euros).</w:t>
      </w:r>
    </w:p>
    <w:p>
      <w:r>
        <w:rPr>
          <w:b/>
        </w:rPr>
        <w:t>E. 7.4.2</w:t>
      </w:r>
    </w:p>
    <w:p>
      <w:r>
        <w:t>Comme l'ont souligné les thérapeutes de D._______, sur le plan du pronostic, il est à craindre qu'un arrêt des traitements en cours amène des complications ostéoarticulaires à moyen ou long terme, une aggravation de la malvoyance, ainsi que des complications - fréquentes - liées au port du drain ventriculo-péritonéal, en précisant que l'absence de suivi et de traitements adéquats sur ce dernier point pouvait entraîner une obstruction et s'avérer fatale. Si même un tel contexte ne suffisait pas à lui seul à exclure un retour de l'enfant concernée en Macédoine, s'y ajoutent des obstacles de nature à rendre insurmontable la réinstallation dans leur pays des deux parents et de leurs trois jeunes enfants. En premier lieu, à supposer que les intéressés puissent réintégrer le logement familial d'où ils ont été chassés par manque de place, ils y disposeraient, dans le meilleur des cas, d'une pièce exiguë et inadaptée aux soins de D._______. Ensuite, au caractère pénible de leur situation, les intéressés ne trouveront pas plus que par le passé des membres de leurs familles respectives, eux-mêmes en situation économique précaire, ou des bénévoles en mesure de permettre une réinsertion sur le plan économique et de leur apporter le soutien complémentaire au niveau médical. Il est donc pour le moins aléatoire, faute d'éléments allant en sens contraire, de considérer que les recourants pourront compter sur l'existence d'un réel réseau familial ou social en cas de renvoi en Macédoine. Les possibilités de subvenir seuls non seulement aux besoins vitaux et à ceux des enfants, mais également aux frais des traitements médicaux, apparaissent ainsi largement compromises, le recourant étant un ouvrier sans formation supérieure. De son côté, son épouse, sans compétences professionnelles particulières, ne pourra pas envisager à court ou long terme un emploi permettant une source de revenu complémentaire, ses forces étant à ce point mobilisées par les besoins de D._______ pour tous les gestes de la vie quotidienne que son rôle est confiné au soins à prodiguer à celle-ci et aux besoins de ses deux autres filles. Quant à la présence d'un frère en Suisse, le Tribunal estime ne pas pouvoir exiger de celui-ci, confronté à ses propres charges de famille, d'apporter aux intéressés l'aide financière substantielle nécessaire sur le long terme. Autant d'éléments défavorables ôtent à l'exécution du renvoi son caractère raisonnablement exigible.</w:t>
      </w:r>
    </w:p>
    <w:p>
      <w:r>
        <w:rPr>
          <w:b/>
        </w:rPr>
        <w:t>E. 7.5</w:t>
      </w:r>
    </w:p>
    <w:p>
      <w:r>
        <w:t>Dès lors, il y a lieu de prononcer leur admission provisoire; celle-ci, en principe d'une durée d'un an (art. 85 al. 1 LEtr), renouvelable si nécessaire, apparaît mieux à même d'écarter les risques sérieux que courent les intéressés en cas de retour en Macédoine.</w:t>
      </w:r>
    </w:p>
    <w:p>
      <w:r>
        <w:rPr>
          <w:b/>
        </w:rPr>
        <w:t>E. 8</w:t>
      </w:r>
    </w:p>
    <w:p>
      <w:r>
        <w:t>En conséquence, le recours doit être admis, la décision en matière d'exécution du renvoi de l'ODM annulée, et dit office invité à prononcer l'admission provisoire des recourants et de leurs trois enfants, pour cause d'inexigibilité.</w:t>
      </w:r>
    </w:p>
    <w:p>
      <w:r>
        <w:rPr>
          <w:b/>
        </w:rPr>
        <w:t>E. 9.1</w:t>
      </w:r>
    </w:p>
    <w:p>
      <w:r>
        <w:t>L'assistance judiciaire ayant été accordée, il n'est pas perçu de fais (cf. art. 65 al. 1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Sur la base du relevé de prestations produit en annexe du recours et compte tenu des interventions ultérieures, le Tribunal fixe le montant de l'indemnité à 1'000 francs (cf. art. 14 al.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