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D-5748/2010 vom 8. Juli 2011</w:t>
      </w:r>
    </w:p>
    <w:p>
      <w:r>
        <w:t>Bundesverwaltungsgericht, 2011-07-08, DE</w:t>
      </w:r>
    </w:p>
    <w:p>
      <w:r>
        <w:rPr>
          <w:b/>
        </w:rPr>
        <w:t xml:space="preserve">Quelle: </w:t>
      </w:r>
      <w:r>
        <w:t>https://mcp.opencaselaw.ch/entscheid/bvger_D-5748_2010</w:t>
      </w:r>
    </w:p>
    <w:p>
      <w:r>
        <w:t>FR: TAF D-5748/2010 du 8 juillet 2011</w:t>
      </w:r>
    </w:p>
    <w:p>
      <w:r>
        <w:t>IT: TAF D-5748/2010 del 8 luglio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 Ausschlaggeben für die Erteilung der Einreisebewilligung ist dabei die Schutzbedürftigkeit der betroffenen Personen (vgl. a.a.O.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 Dies bedeutet, dass zwischen dem Ereignis und der Flucht, mithin dem Asylgesuch, ein zeitlicher Kausalzusammenhang bestehen muss.</w:t>
      </w:r>
    </w:p>
    <w:p>
      <w:r>
        <w:rPr>
          <w:b/>
        </w:rPr>
        <w:t>E. 5.1</w:t>
      </w:r>
    </w:p>
    <w:p>
      <w:r>
        <w:t>Im Folgenden ist zu prüfen, ob das BFM zu Recht eine unmittelbare Gefahr im Sinne von Art. 20 AsylG verneinte und die Einreise des Beschwerdeführers in die Schweiz verweigerte.</w:t>
      </w:r>
    </w:p>
    <w:p>
      <w:r>
        <w:rPr>
          <w:b/>
        </w:rPr>
        <w:t>E. 5.2</w:t>
      </w:r>
    </w:p>
    <w:p>
      <w:r>
        <w:t>Den Angaben des Beschwerdeführers sowie den vorliegenden, auszugsweise angefertigten Übersetzungen der von ihm eingereichten Gerichtsunterlagen kann entnommen werden, dass er wegen Mitgliedschaft und Unterstützung der Terrororganisation DHKP-C, wegen Verstosses gegen das Demonstrationsgesetz sowie wegen aktiven und passiven Widerstands gegen Beamte im Einsatz in den Fokus der Strafverfolgungsbehörden von B._______ sowie C._______ geriet. Mit Urteil vom 31. Mai 2001 wurde der Beschwerdeführer vom (...) mangels Beweisen vom Vorwurf des Verstosses gegen das Demonstrationsgesetz freigesprochen. In einem anderen Verfahren wurde der Beschwerdeführer am 18. März 2009 vom 11. Schwurgericht in B._______ wegen Mitgliedschaft bei der Terrororganisation DHKP-C zu einer Haftstrafe von sechs Jahren und drei Monaten verurteilt. Das diesbezüglich eingeleitete Revisionsverfahren ist noch immer bei der Strafkammer des Kassationshofs hängig. Gemäss Aussagen des Beschwerdeführers sowie den eingereichten Akten zufolge sind zudem weitere Strafverfahren gegen ihn noch pendent.</w:t>
      </w:r>
    </w:p>
    <w:p>
      <w:r>
        <w:rPr>
          <w:b/>
        </w:rPr>
        <w:t>E. 5.3</w:t>
      </w:r>
    </w:p>
    <w:p>
      <w:r>
        <w:t>Die Frage, ob die Verurteilung des Beschwerdeführers zu sechs Jahren und drei Monaten durch das 11. Schwurgericht in B._______ wegen Mitgliedschaft bei der Terrororganisation DHKP-C zu Recht erfolgt ist, ist hier nicht zu prüfen; es bestehen diesbezüglich keine Hinweise auf ein unrechtmässiges Handeln. Zudem erscheint das Strafmass der ausgesprochenen Gefängnisstrafe in Anbetracht der in diesem Strafverfahren dem Beschwerdeführer vorgeworfenen Straftaten nicht als unverhältnismässig streng. Auch liegen keine glaubhaften Anhaltspunkte dafür vor, dass diese Verurteilung aus asylrechtlich relevanten Motiven erfolgt wäre. So ist insbesondere darauf hinzuweisen, dass es sich bei der marxistisch-leninistisch orientierten DHKP-C um eine illegale Organisation handelt, deren Ziel es ist, das bestehende türkische Staatsgefüge durch bewaffnete Revolution zu zerschlagen und ein sozialistisches System einzurichten. Die Organisation war massgeblich an den Hungerstreiks und Todesfasten in türkischen Gefängnissen ab Oktober 2000 bis 2007 beteiligt. Daneben führte sie aber auch Anschläge durch, die sich gegen Personen und Einrichtungen der türkischen Regierung und Sicherheitskräfte sowie gegen "Zeichen des Imperialismus" richteten. Zwar kam es in letzter Zeit zu keinen spektakulären Operationen mehr. Dennoch geht von der DHKP-C weiterhin eine erhöhte Gewaltbereitschaft aus (vgl. Urteil des Bundesverwaltungsgerichts E-120/2010 vom 2. März 2010 E. 6.1). Im Weiteren ist festzuhalten, dass nicht anzunehmen ist, der mit der Revision des Urteils beauftragte Kassationshof werde eine höhere Strafe gegen den Beschwerdeführer ausfällen, wovon auch der Beschwerdeführer ausgeht (Akten BFM A 1/7, S. 3). Vielmehr besteht die Möglichkeit, dass der Kassationshof die Strafe mildert oder sogar von einer Bestrafung absieht. Insbesondere, wenn es zutreffen sollte, dass der Beschwerdeführer - wie behauptet - die vorgeworfenen Taten nicht begangen hat. Es kann mangels entsprechender Anhaltspunkte davon ausgegangen werden, dass die Rechte des Beschwerdeführers im beim Kassationshof hängigen Verfahren ebenso gewahrt werden. Jedenfalls liegen diesbezüglich keine Hinweise dafür vor, wonach er im heutigen Zeitpunkt asylrechtlich relevante Nachteile zu erwarten hätte. Auch hinsichtlich der übrigen, den Beschwerdeführer betreffenden hängigen Gerichtsverfahren liegen in den Akten keine Anhaltspunkte dafür vor, die eine Verurteilung aus asylrechtlich relevanten Motiven erwarten liessen. So machte der Beschwerdeführer anlässlich der Befragung in Bezug auf diese Verfahren geltend, er werde wohl freigesprochen werden respektive es könne sein, dass die Vorwürfe verjährt seien (vgl. Akten BFM A 1/7, S. 3 f.). Ausserdem ist darauf hinzuweisen, dass der Beschwerdeführer mit Urteil vom 31. Mai 2001 vom (...) mangels Beweisen vom Vorwurf des Verstosses gegen das Demonstrationsgesetz freigesprochen wurde, was ebenfalls darauf hindeutet, dass die gegen den Beschwerdeführer eingeleiteten Strafverfahren in rechtsstaatlicher Art und Weise geführt werden. Insgesamt weisen die Akten somit auf rechtsstaatlich korrekt durchgeführte Verfahren hin. Im Weiteren ist festzuhalten, dass der Beschwerdeführer gemäss eigenen Aussagen am 13. November 2004 aus der Haft entlassen wurde und sich seither - mit Ausnahme eines Tages Gewahrsam im August 2009 wegen des zu absolvierenden Militärdienstes - in Freiheit befindet. Darauf, dass der Beschwerdeführer in der Türkei keine asylrelevanten Nachteile zu befürchten hat beziehungsweise eine aktuelle Gefährdung des Beschwerdeführers im Sinne von Art. 3 AsylG nicht vorliegt, deutet schliesslich auch die Tatsache hin, dass er anlässlich der Anhörung vom 30. März 2010 geltend machte, am 16. Januar 2010 zu Urlaubszwecken für einen Tag nach Georgien und am 14. Februar 2010 für eine Woche nach Hong Kong gereist zu sein (Akten BFM A 1/7, S. 2).</w:t>
      </w:r>
    </w:p>
    <w:p>
      <w:r>
        <w:rPr>
          <w:b/>
        </w:rPr>
        <w:t>E. 5.4</w:t>
      </w:r>
    </w:p>
    <w:p>
      <w:r>
        <w:t>Soweit der Beschwerdeführer in der Befragung vom 30. März 2010 geltend machte, er sei während des Gewahrsams am 19. Dezember 2000 sowie der im Jahre 2004 erlitten Haft misshandelt worden, ist festzuhalten, dass diese Vorbringen zu weit zurückliegen, um noch asylrelevant zu sein. Zudem ist diesbezüglich darauf hinzuweisen, dass gemäss den Aussagen des Beschwerdeführers sowie den eingereichten Akten gegen die fehlbaren Beamten, die den Beschwerdeführer während der zweiten Haft im Jahre 2004 misshandelt haben sollen, Anklage erhoben wurde. Das deutet darauf hin, dass der türkische Staat in jüngerer Zeit bestrebt ist, Missstände in seinen Haftanstalten zu verhindern, weswegen nicht davon auszugehen ist, der Beschwerdeführer hätte bei einer allenfalls neuerlichen Inhaftierung asylrelevante Behandlungen zu gewärtigen.</w:t>
      </w:r>
    </w:p>
    <w:p>
      <w:r>
        <w:rPr>
          <w:b/>
        </w:rPr>
        <w:t>E. 5.5</w:t>
      </w:r>
    </w:p>
    <w:p>
      <w:r>
        <w:t>Im Weiteren sind die vorinstanzlichen Erwägung bezüglich des bevorstehenden Militärdienstes zu bestätigen. Es bestehen vorliegend keine konkreten Hinweise auf einen Malus oder andere drohende, aus Art. 3 AsylG fliessende Nachteile. Daran ändert auch der Umstand nichts, dass gegen den Beschwerdeführer Strafverfahren geführt wurden beziehungsweise werden.</w:t>
      </w:r>
    </w:p>
    <w:p>
      <w:r>
        <w:rPr>
          <w:b/>
        </w:rPr>
        <w:t>E. 5.6</w:t>
      </w:r>
    </w:p>
    <w:p>
      <w:r>
        <w:t>Nach dem Gesagten ist es dem Beschwerdeführer nicht gelungen, eine aktuelle Gefährdung aus asylrelevanten Motiven aufzuzeigen, welche die Bewilligung der Einreise in die Schweiz rechtfertigen würde. Im Übrigen ist eine Beziehungsnähe des Beschwerdeführers zur Schweiz zu verneinen. Insgesamt liegen somit keine überwiegenden Anhaltspunkte für eine Einreise in die Schweiz vor (vgl. EMARK 2005 Nr. 19 mit weiteren Hinweisen). Das BFM hat somit zu Recht die Bewilligung der Einreise des Beschwerdeführers in die Schweiz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von Fr. 600.-- grundsätzlich dem Beschwerdeführer aufzuerlegen (Art. 63 Abs. 1 und 5 VwVG, Art. 1-3 des Reglements vom 21. Februar 2008 über die Kosten und Entschädigungen vor dem Bundesverwaltungsgericht [VGKE, SR 173.320.2]). Aus verwaltungsökonomischen Gründen wird indessen auf deren Erhebung verzichtet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