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D-5740/2024 vom 18. September 2024</w:t>
      </w:r>
    </w:p>
    <w:p>
      <w:r>
        <w:t>Bundesverwaltungsgericht, 2024-09-18, DE</w:t>
      </w:r>
    </w:p>
    <w:p>
      <w:r>
        <w:rPr>
          <w:b/>
        </w:rPr>
        <w:t xml:space="preserve">Quelle: </w:t>
      </w:r>
      <w:r>
        <w:t>https://mcp.opencaselaw.ch/entscheid/bvger_D-5740_2024</w:t>
      </w:r>
    </w:p>
    <w:p>
      <w:r>
        <w:t>FR: TAF D-5740/2024 du 18 septembre 2024</w:t>
      </w:r>
    </w:p>
    <w:p>
      <w:r>
        <w:t>IT: TAF D-5740/2024 del 18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1.4</w:t>
      </w:r>
    </w:p>
    <w:p>
      <w:r>
        <w:t>Da der vorliegenden Beschwerde von Gesetzes wegen aufschiebende Wirkung zukommt (vgl. Art. 42 AsylG und Art. 55 VwVG) und das SEM diese auch nicht entzogen hat, ist auf den Antrag, der Wegweisungsvollzug sei für die Dauer des Verfahrens auszusetzen, mangels Rechtsschutzinteresses nicht einzutreten.</w:t>
      </w:r>
    </w:p>
    <w:p>
      <w:r>
        <w:rPr>
          <w:b/>
        </w:rPr>
        <w:t>E. 2</w:t>
      </w:r>
    </w:p>
    <w:p>
      <w:r>
        <w:t>Der Beschwerdeführer beantragt zwar die Aufhebung der (gesamten) Verfügung. Angesichts des weiteren Rechtsbegehrens (vorläufige Aufnahme wegen Unzumutbarkeit des Wegweisungsvollzugs) sowie der Beschwerdebegründung ist indes davon auszugehen, dass einzig der Wegweisungsvollzug Gegenstand des vorliegenden Beschwerdeverfahrens bildet und mithin die Dispositivziffern 1 (Nichteintreten auf das Asylgesuch) und 2 (Anordnung der Wegweisung) der vorinstanzlichen Verfügung unangefochten in Rechtskraft erwachsen sind.</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5.2.2</w:t>
      </w:r>
    </w:p>
    <w:p>
      <w:r>
        <w:t>Entgegen der Auffassung des Beschwerdeführers erweist sich der Vollzug der Wegweisung nach Griechenland in Beachtung der genannten völker- und landesrechtlichen Bestimmung als zulässig. Griechenland ist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des BVGer E-3427/2021, E-3431/2021 vom 28. März 2022 E. 11.2). Die Beschwerdevorbringen respektive die Hinweise auf die einschlägige juristische Analyse der Schweizerischen Flüchtlingshilfe vom 11. August 2023 vermögen nichts an dieser Einschätzung zu ändern.</w:t>
      </w:r>
    </w:p>
    <w:p>
      <w:r>
        <w:rPr>
          <w:b/>
        </w:rPr>
        <w:t>E. 5.2.3</w:t>
      </w:r>
    </w:p>
    <w:p>
      <w:r>
        <w:t>Der Vollzug der Wegweisung ist demnach als zulässig zu qualifizieren.</w:t>
      </w:r>
    </w:p>
    <w:p>
      <w:r>
        <w:rPr>
          <w:b/>
        </w:rPr>
        <w:t>E. 5.3.1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erachtet das Gericht den Vollzug der Wegweisung nach Griechenland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Referenzurteil des BVGer E-3427/2021, E-3431/2021 vom 28. März 2022 E. 11.5.1 und E. 11.5.3). 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vom 28. März 2022 E. 11.4).</w:t>
      </w:r>
    </w:p>
    <w:p>
      <w:r>
        <w:rPr>
          <w:b/>
        </w:rPr>
        <w:t>E. 5.3.2</w:t>
      </w:r>
    </w:p>
    <w:p>
      <w:r>
        <w:t>Der Beschwerdeführer macht folgende Gesundheitsproblemen geltend: Rücken- und offenbar damit verbundene Beinschmerzen sowie angebliche weitere gesundheitliche - namentlich psychische - Probleme, wegen welchen er sich insbesondere nach der Kantonszuweisung offenbar nie bei der zuständigen Stelle meldete respektive für welche keine ärztlichen Berichte vorliegen (vgl. Bst. K. vorstehend; vgl. im Übrigen Bst. D.b vorstehend sowie "Medizinisches Datenblatt für interne Arztbesuche im BAZmV F._______" mit letztem Eintrag vom 6. Dezember 2023). Dabei handelt es sich aufgrund der Aktenlage nicht um derart schwerwiegende Probleme im Sinne der Rechtsprechung, aufgrund welcher bei ihm von einer äusserst vulnerablen Person auszugehen wäre. Demnach gilt in seinem Falle die Legalvermutung, wonach der Vollzug der Wegweisung nach Griechenland grundsätzlich zumutbar ist.</w:t>
      </w:r>
    </w:p>
    <w:p>
      <w:r>
        <w:rPr>
          <w:b/>
        </w:rPr>
        <w:t>E. 5.3.3</w:t>
      </w:r>
    </w:p>
    <w:p>
      <w:r>
        <w:t>Der Beschwerdeführer hat weder mit seinen Ausführungen im vorinstanzlichen Verfahren noch mit seinen Beschwerdevorbringen ernsthafte Anhaltspunkte dafür vorgebracht, dass er aufgrund von individuellen Umständen sozialer, wirtschaftlicher oder gesundheitlicher Art bei einer Rückkehr nach Griechenland in eine existenzielle Notlage geraten würde. Angesichts seines (nach wie vor gültigen) Schutzstatus (vgl. Bst. L. vorstehend), aufgrund dessen er seine abgelaufene Aufenthaltsbewilligung wird verlängern können (vgl. hierzu Referenzurteil E-3427/2021, E-3431/2021 vom 28. März 2022 E. 9.5), hat er grundsätzlich Zugang zu Sozialleistungen, zum griechischen Arbeitsmarkt und zur Gesundheitsversorgung. Er kann sich - wie bereits in der angefochtenen Verfügung festgehalten - auf die Qualifikationsrichtlinie berufen. Es ist ihm zuzumuten, sich an die entsprechenden Stellen zu wenden und im Bedarfsfall seine Rechte auf dem Rechtsweg durchzusetzen sowie nötigenfalls die unentgeltliche Hilfe von Nichtregierungsorganisationen zu beanspruchen; letzteres dürfte insbesondere auch hinsichtlich seines erstmals in der Beschwerde implizit geäusserten Wunsches auf Zugang zu Integrationsprogrammen oder Sprachkursen gelten. Angesichts seiner pauschalen und unsubstanziierten Vorbringen ist nicht davon auszugehen, er habe bei seinem vorherigen Aufenthalt in Griechenland alles ihm Zumutbare unternommen, um die benötigte Unterstützung zu erhalten. Soweit in der Beschwerde erstmals und in unsubstanziierter Weise vorgebracht wird, der Beschwerdeführer sei in Griechenland geschlagen, gefoltert und sexuell missbraucht worden, ist festzuhalten, dass dieses Vorbringen - bei Wahrunterstellung - einem Wegweisungsvollzug ebenfalls nicht entgegenstehen würde, da Griechenland ein Rechtsstaat mit einer funktionierenden Polizeibehörde ist, von dessen Schutzwilligkeit und -fähigkeit bezüglich Übergriffe vonseiten Dritter auszugehen ist.</w:t>
      </w:r>
    </w:p>
    <w:p>
      <w:r>
        <w:rPr>
          <w:b/>
        </w:rPr>
        <w:t>E. 5.3.4</w:t>
      </w:r>
    </w:p>
    <w:p>
      <w:r>
        <w:t>Der Beschwerdeführer vermag nach dem Gesagten die Vermutung, der Vollzug der Wegweisung nach Griechenland sei auch in seinem Fall zumutbar, nicht umzustossen.</w:t>
      </w:r>
    </w:p>
    <w:p>
      <w:r>
        <w:rPr>
          <w:b/>
        </w:rPr>
        <w:t>E. 5.4</w:t>
      </w:r>
    </w:p>
    <w:p>
      <w:r>
        <w:t>Der Vollzug der Wegweisung ist schliesslich nach Art. 83 Abs. 2 AIG möglich, da die griechischen Behörden einer Rückübernahme des Beschwerdeführers ausdrücklich zugestimmt haben (vgl. Bstn. F.b und L. vorstehend).</w:t>
      </w:r>
    </w:p>
    <w:p>
      <w:r>
        <w:rPr>
          <w:b/>
        </w:rPr>
        <w:t>E. 5.5</w:t>
      </w:r>
    </w:p>
    <w:p>
      <w:r>
        <w:t>Zusammenfassend hat das SEM zu Recht den Wegweisungsvollzug nach Griechenland als zulässig, zumutbar und möglich bezeichnet, weshalb die Anordnung der vorläufigen Aufnahme ausser Betracht fällt.</w:t>
      </w:r>
    </w:p>
    <w:p>
      <w:r>
        <w:rPr>
          <w:b/>
        </w:rPr>
        <w:t>E. 6</w:t>
      </w:r>
    </w:p>
    <w:p>
      <w:r>
        <w:t>Aus diesen Erwägungen ergibt sich, dass die angefochtene Verfügung Bundesrecht nicht verletzt und auch sonst nicht zu beanstanden ist. Die Beschwerde ist abzuweisen, soweit darauf einzutreten ist.</w:t>
      </w:r>
    </w:p>
    <w:p>
      <w:r>
        <w:rPr>
          <w:b/>
        </w:rPr>
        <w:t>E. 7.1</w:t>
      </w:r>
    </w:p>
    <w:p>
      <w:r>
        <w:t>Mit dem vorliegenden Urteil ist das Gesuch um Verzicht auf die Erhebung eines Kostenvorschusses gegenstandslos geworden.</w:t>
      </w:r>
    </w:p>
    <w:p>
      <w:r>
        <w:rPr>
          <w:b/>
        </w:rPr>
        <w:t>E. 7.2</w:t>
      </w:r>
    </w:p>
    <w:p>
      <w:r>
        <w:t>Das Gesuch um Gewährung der unentgeltlichen Prozessführung im Sinne von Art. 65 Abs. 1 VwVG ist abzuweisen, da die Begehren von Anfang an als aussichtslos zu bezeichnen waren.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