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D-5735/2024 vom 8. August 2024</w:t>
      </w:r>
    </w:p>
    <w:p>
      <w:r>
        <w:t>Bundesverwaltungsgericht, 2024-08-08, DE</w:t>
      </w:r>
    </w:p>
    <w:p>
      <w:r>
        <w:rPr>
          <w:b/>
        </w:rPr>
        <w:t xml:space="preserve">Quelle: </w:t>
      </w:r>
      <w:r>
        <w:t>https://mcp.opencaselaw.ch/entscheid/bvger_D-5735_2024_d20240808</w:t>
      </w:r>
    </w:p>
    <w:p>
      <w:r>
        <w:t>FR: TAF D-5735/2024 du 8 août 2024</w:t>
      </w:r>
    </w:p>
    <w:p>
      <w:r>
        <w:t>IT: TAF D-5735/2024 del 8 agosto 2024</w:t>
      </w:r>
    </w:p>
    <w:p>
      <w:pPr>
        <w:pStyle w:val="Heading2"/>
      </w:pPr>
      <w:r>
        <w:t>Regeste</w:t>
      </w:r>
    </w:p>
    <w:p>
      <w:r>
        <w:t>Asyl und Wegweisung | Asyl und Wegweisung; Verfügung des SEM vom 8. August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Beschwerdeführerinnen haben am Verfahren vor der Vorinstanz</w:t>
      </w:r>
    </w:p>
    <w:p>
      <w:r>
        <w:t>D-5735/2024 Seite 6 teilgenommen, sind durch die angefochtene Verfügung besonders berührt und haben ein schutzwürdiges Interesse an deren Aufhebung beziehungs- weise Änderung. Sie sind daher zur Einreichung der Beschwerde legiti- 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 sachen nicht entsprechen oder massgeblich auf gefälschte oder ver- fälschte Beweismittel abgestützt werden (Art. 7 AsylG).</w:t>
      </w:r>
    </w:p>
    <w:p>
      <w:r>
        <w:rPr>
          <w:b/>
        </w:rPr>
        <w:t>E. 4.1</w:t>
      </w:r>
    </w:p>
    <w:p>
      <w:r>
        <w:t>Die Vorinstanz führte zur Begründung des Asylentscheids aus, die Be- schwerdeführerin sei fähig gewesen, die türkischen Behörden um Schutz zu ersuchen. Ihre Anklage sei entgegengenommen und ihr Ehemann sei zu einer Geldstrafe verurteilt worden. Die türkischen Justizbehörden erwie- sen sich in ihrem Fall als schutzfähig und schutzwillig. Sie hätte somit die Möglichkeit gehabt, die Drohungen ihrer Schwiegerfamilie, die Wegnahme ihrer Tochter und die durch ihren Ehemann und ihre Schwiegerfamilie erlit- tene Gewalt erneut anzuzeigen und die vollständigen Ereignisse zu schil- dern. Die türkischen Behörden, insbesondere in den westlichen und</w:t>
      </w:r>
    </w:p>
    <w:p>
      <w:r>
        <w:t>D-5735/2024 Seite 7 urbanen Regionen, würden in dieser Hinsicht über funktionierende und ef- fiziente staatliche Strafverfolgungsinstitutionen verfügen und seien gewillt, staatlichen Schutz zu gewähren (vgl. BVG-Urteil E-1948/2018, S. 10). Diese Schutzinfrastrukturen seien der Beschwerdeführerin zugänglich und es sei ihr zumutbar, diese mithilfe ihres Anwalts wieder in Anspruch zu neh- men. Ihre Annahme, wonach es nichts bringe, bei der Polizei oder einem Frauenhaus Schutz zu suchen, weil man das Frauenhaus nach zwei Tagen verlassen müsse und die Polizei bestechlich sei, würde auf ihrer subjekti- ven Meinung beruhen. Denn es gebe keine objektiven Anhaltspunkte dafür, dass ihr Ehemann einflussreiche Kontakte zu den Behörden unterhalte. Sie habe die möglichen Schutzinfrastrukturen der Türkei nicht vollends ausge- schöpft. Das 2. Familiengericht D._______ habe ihre Scheidungsklage auf- genommen und der Scheidungsprozess sei zurzeit pendent (siehe BM [Be- weismittel] 21), woraus sich ergebe, dass die türkischen Behörden ihrer Pflicht, ein Scheidungsverfahren rechtsstaatlich durchzuführen, nachkom- men würden. Bei den Gerichtsverhandlungen hätte die Beschwerdeführe- rin wiederum die Gelegenheit, die erlittene Gewalt durch ihren Ehemann geltend zu machen. Insgesamt würden sowohl ihre Aussagen als auch die eingereichten Beweismittel zeigen, dass ihr in ihrem Heimatland ein funk- tionierendes und effizientes Schutzsystem zur Verfügung stehe, zu wel- chem sie Zugang gehabt habe und weiterhin habe. Es könne vernünftiger- weise von ihr erwartet werden, dass sie weitere Schritte bei den entspre- chenden Stellen unternehme, um dort um Schutz vor den sie bedrohenden Personen – ihrem Ehemann und dessen Familie – zu ersuchen. Ihren Aus- sagen könne nicht entnommen werden, dass sie sich seit 2020 in der Tür- kei ohne jegliche Unterstützung in einer existenziellen Notlage befunden hätte. Sie werde zwar von ihrer Familie hinsichtlich der Scheidung nicht unterstützt, sei aber im (…) 2020 zu ihr gegangen und habe dort bis zu ihrer Ausreise im Jahr 2023 regelmässig gelebt (Akte 42/15, F51-52). Ge- mäss ihren Aussagen habe ihre Familie sie und ihre Tochter nicht akzep- tiert und beschimpft (Akte 42/15, F26, F51, F58). Die Familie habe gesagt, sie solle ihr Kind der Schwiegerfamilie überlassen. Nichtsdestotrotz habe sie zwei Jahre bis zur Ausreise bei ihrer Familie leben können (Akte 19/15, F85). Dass sie ihre Tochter hinter der Türe versteckt habe, scheine daher nicht nachvollziehbar und unglaubhaft (Akte 19/15, F101). Ihr Bruder J._______ (N […]) habe am 6. Januar 2022 zu Protokoll gegeben, dass sie und ihre Tochter zur Familie nach C._______ zurückgekehrt seien. Ausser- dem sei sie erst zwei Wochen vor ihrer Ausreise zu ihrem Onkel mütterli- cherseits gegangen (Akte 42/15, F31). Sie habe demnach trotz Meinungs- verschiedenheiten bei ihrer Familie leben können. Zudem sei sie gemäss dem Schreiben ihres Anwalts von ihr finanziell unterstützt worden (BM 7).</w:t>
      </w:r>
    </w:p>
    <w:p>
      <w:r>
        <w:t>D-5735/2024 Seite 8 Ausser den Streitereien, wonach sie und das Kind nicht erwünscht seien und sie das Kind der Schwiegerfamilie geben solle, um Ruhe zu haben, habe sie keine Verfolgung durch ihre eigene Familie geltend gemacht (Akte 19/15, F88, F90, F99; Akte 38/10, F17). Bei ihrer Befürchtung, ihre Tochter würde bereits mit 12, 13 Jahren verheiratet werden, weil sie bei der Stief- mutter aufwachsen würde, handle es sich um eine Spekulation, welche übertrieben und nach dem Gesagten weder wahrscheinlich noch nachvoll- ziehbar erscheine. Die türkischen Behörden seien in solchen Fällen als schutzwillig und schutzfähig zu erachten, weshalb sich die Beschwerde- führerin auch diesbezüglich an sie wenden könnte. Ihre Vorbringen hielten den Anforderungen an die Flüchtlingseigenschaft gemäss Art. 3 AsylG nicht stand.</w:t>
      </w:r>
    </w:p>
    <w:p>
      <w:r>
        <w:rPr>
          <w:b/>
        </w:rPr>
        <w:t>E. 4.2</w:t>
      </w:r>
    </w:p>
    <w:p>
      <w:r>
        <w:t>In der Rechtsmitteleingabe entgegnet die Beschwerdeführerin, sie stamme aus bäuerlichen, wenig gebildeten und äusserst patriarchalischen Verhältnissen. Frauen seien gehalten, das zu tun, was ihre Familien und insbesondere ihre Männer von ihnen verlangen würden. Die Dolmetscherin habe anlässlich der ersten Anhörung denn auch angemerkt, dass sie eine sehr einfache Sprache spreche (A19/F20). Zudem sei sie bei den Anhö- rungen spürbar belastet gewesen, habe viel geweint und an (…) einen durch Stress ausgelösten (…) gehabt (siehe u.a. A19/F62, F69; A38, F3 f., F9, F15, F23; A42/F39). Die zweite Anhörung sei denn auch wegen ihres Gesundheitszustands abgebrochen worden. Weiter habe sie anlässlich der dritten Anhörung darauf hingewiesen, dass die/der Dolmetscher:in der ers- ten Anhörung sie wiederholt angewiesen habe, sich kurz zu fassen, zusam- menfassende Angaben zu machen und angegeben habe, er komme mit ihren Aussagen nicht mit (A42/F57). Schliesslich habe sie mehrmals er- klärt, dass es ihr Mühe bereite, über das Geschehene zu sprechen und sie gerne eher oberflächlich darüber erzählen würde (A42/F58, A42/F13, A42/F39). Ihre Aussagen seien vor diesem Hintergrund zu würdigen. Im Weiteren habe sie wiederholt zu Protokoll gegeben, dass sie nach der Ein- leitung des ersten Scheidungsverfahrens im Jahr 2020 mit ihrer Tochter bei ihrer Familie nicht erwünscht gewesen sei (A38/F25 f.; A42/F25). Aus ihren Aussagen ergebe sich klar, dass sie nach dem Rückzug der ersten Schei- dungsklage bis zum endgültigen Zerwürfnis mit ihrer Familie nie für längere Zeit dort gelebt habe (ebd.; siehe auch A19/F93 ff.). Es sei daher durchaus glaubhaft, dass sie die Anwesenheit ihrer Tochter der Familie nicht unter die Nase gerieben und sich im Januar 2022, als ihr Bruder angehört wor- den sei, gerade bei der Familie aufgehal-ten habe, zumal die zweite Schei- dungsklage erst im späteren Verlauf des Jahres 2022 eingereicht worden sei. Aus den Aussagen gehe deutlich hervor, dass sie von mehreren Seiten</w:t>
      </w:r>
    </w:p>
    <w:p>
      <w:r>
        <w:t>D-5735/2024 Seite 9 angehalten worden sei, im Kontakt mit Behörden nichts von den wahren Gründen für die eheliche Gewalt (sexuelle Übergriffe im familiären Kontext) zu erzählen, sei es, um den ehrbaren Ruf des Ehemannes und dessen Familie nicht zu gefährden, sei es, um ihren eigenen Ruf, denjenigen ihrer Familie und letztlich auch ihre Sicherheit nicht in Gefahr zu bringen. Im Urteil BVGer E-1175/2020 vom 16. März 2020 sei festgehalten worden, dass die Frage der Schutzbereitschaft der türkischen Behörden neu zu evaluieren sei, sollten künftig negative institutionelle Entwicklungen – na- mentlich in der Gesetzgebung – oder tiefgreifende Veränderungen der Ge- sellschaft zu verzeichnen sein. Seit Erlass dieses Urteils sei mit dem Aus- tritt der Türkei aus der Istanbul-Konvention eine solche negative institutio- nelle beziehungsweise strukturelle Veränderung eingetreten, weshalb die Rechtsprechung gemäss dem Referenzurteil BVGer E-1948/2018 vom 12. Juni 2018 zu revidieren sei. Angesichts ihrer Schilderungen, der einge- reichten Beweismittel, ihrer Herkunft sowie der Entwicklungen seit Erlass des Referenzurteils von 2018 sei die Rechtsprechung zur Schutzfähigkeit und Schutzwilligkeit der Türkei betreffend Opfer geschlechtsspezifischer Gewalt zu überdenken. Dies betreffe insbesondere Fälle wie den vorlie- genden, wo es um den Südosten der Türkei gehe und zusätzliche Risiko- faktoren wie eine Heirat unter Verwandten und Blutfehden bestünden, wel- che die Möglichkeiten von Frauen, sich effektiv gegen ihre Familienange- hörigen zu schützen, weiter einschränken würden. Es könne von ihr nicht verlangt werden, weitere Gewalttätigkeiten über sich ergehen zu lassen und diese noch mehrmals zur Anzeige zu bringen, nur damit letztlich eine Haftstrafe gegen ihren Ehemann resultiere und sie dann tatsächlich (für eine begrenzte Zeit) Ruhe vor ihm habe. Die staatlichen Schutzmechanis- men seien für sie nicht zugänglich beziehungsweise eine Inanspruch- nahme sei ihr nicht zumutbar. Es sei insgesamt von einer fehlenden Schutzfähigkeit des türkischen Staates auszugehen und ihr dementspre- chend aus frauenspezifischen Gründen die Flüchtlingseigenschaft zuzuer- kennen und Asyl zu gewähren.</w:t>
      </w:r>
    </w:p>
    <w:p>
      <w:r>
        <w:rPr>
          <w:b/>
        </w:rPr>
        <w:t>E. 5</w:t>
      </w:r>
    </w:p>
    <w:p>
      <w:r>
        <w:t>Vorab ist auf die Bemerkung einzugehen, wonach die Aussagen der Be- schwerdeführerin vor dem Hintergrund ihrer Herkunft und der Anhörungs- situation zu würdigen seien. Eine Durchsicht der Anhörungsprotokolle lässt erkennen, dass weder ihr Bildungsstand noch ihr Gesundheitszustand die Beschwerdeführerin daran hinderten, zuverlässig an der Sachverhaltsfest- stellung mitzuwirken. So war es ihr nicht nur möglich, anlässlich der ersten Anhörung frei über ihre Asylgründe zu berichten (vgl. Protokoll der Anhö- rung vom 29. März 2023 in den Akten der Vorinstanz [SEM-act. 19], S. 8/9</w:t>
      </w:r>
    </w:p>
    <w:p>
      <w:r>
        <w:t>D-5735/2024 Seite 10 F69), sondern auch, bei allen drei Anhörungen die einzelnen Fragen der Befragerin zu beantworten. Am Ende der Anhörungen bestätigte sie je- weils, alles gesagt zu haben, was sie für ihr Asylgesuch als wesentlich er- achte (vgl. SEM-act. 19, S. 14 F117; Protokoll der ergänzenden Anhörung vom 18. März 2024 [SEM-act. 38], S. 8 F42; Protokoll der ergänzenden Anhörung vom 10. Juni 2024 [SEM-act. 42], S. 14 F69), und nach der Rück- übersetzung der Protokolle bestätigte sie deren Vollständigkeit mit ihrer Unterschrift (vgl. SEM-act. 19, S. 15; SEM-act. 38, S. 9; SEM-act. 42, S. 15). Im Weiteren ist nicht ersichtlich, dass die jeweils anwesende Rechtsvertretung irgendwelche Einwände gegen die Anhörungssituation erhoben hätte. Die Beschwerdeführerin bleibt schliesslich darauf hinzuwei- sen, dass – entgegen ihrer Ansicht – die zweite Anhörung nicht wegen ih- res Gesundheitszustands, sondern wegen desjenigen der Befragerin ab- gebrochen werden musste (vgl. SEM-act. 38, S. 8; SEM-act. 42, S. 1).</w:t>
      </w:r>
    </w:p>
    <w:p>
      <w:r>
        <w:rPr>
          <w:b/>
        </w:rPr>
        <w:t>E. 6.1</w:t>
      </w:r>
    </w:p>
    <w:p>
      <w:r>
        <w:t>Das Bundesverwaltungsgericht gelangt nach Durchsicht der Akten zum Schluss, dass die Vorinstanz die Asylgesuche der Beschwerdeführerinnen zu Recht abgelehnt hat, wobei – mit den nachfolgenden Ergänzungen – auf die zutreffenden Erwägungen in der angefochtenen Verfügung verwie- sen werden kann. Die Ausführungen in der Beschwerde sind nicht geeig- net, zu einer anderen Beurteilung zu führen.</w:t>
      </w:r>
    </w:p>
    <w:p>
      <w:r>
        <w:rPr>
          <w:b/>
        </w:rPr>
        <w:t>E. 6.2</w:t>
      </w:r>
    </w:p>
    <w:p>
      <w:r>
        <w:t>Das Bundesverwaltungsgericht bejaht in gefestigter Praxis die grund- sätzliche Schutzbereitschaft und Schutzfähigkeit des türkischen Staates im Umgang mit Opfern häuslicher Gewalt und Zwangsheirat und geht davon aus, dass insbesondere in den städtischen Gebieten die Infrastruktur des Opferschutzes wesentlich dichter als in ländlichen Regionen ist. Obwohl in der letzten Zeit eine Zunahme von Gewalt gegenüber Frauen festgestellt wurde und die Türkei per 1. Juli 2021 aus der Istanbul-Konvention (Über- einkommen des Europarats zur Verhütung und Bekämpfung von Gewalt gegen Frauen und häuslicher Gewalt vom 11. Mai 2011, SR 0.311.35) aus- getreten ist, bleibt festzuhalten, dass im heutigen Zeitpunkt nicht bereits von einem faktischen Wegfall der bisherigen rechtlichen Möglichkeiten zur Schutzinanspruchnahme ausgegangen werden kann. Es bleibt indes zu beobachten, ob und inwiefern sich dadurch der Schutz der Frauen in ne- gativer Weise verändert (vgl. zum Ganzen Urteile BVGer E-1948/2018 vom 12. Juni 2018 E. 5.2 [als Referenzurteil publiziert]; E-4490/2024 vom</w:t>
      </w:r>
    </w:p>
    <w:p>
      <w:r>
        <w:rPr>
          <w:b/>
        </w:rPr>
        <w:t>E. 6.3</w:t>
      </w:r>
    </w:p>
    <w:p>
      <w:r>
        <w:t>Soweit die Beschwerdeführerin befürchtet, von ihrem Ehemann und der Schwiegerfamilie umgebracht zu werden wegen ihrer Scheidungsab- sicht und der Mitnahme der Tochter in die Schweiz, spricht nichts dagegen, dass es ihr – nach dem zuvor Gesagten – möglich und auch zumutbar ist, sich mit ihrem Schutzanliegen an die türkischen Behörden zu wenden. Diesbezüglich ist zu berücksichtigen, dass sie bereits Anzeige gegen ihren Ehemann erstattet und damit bewirkt hat, dass dieser zu einer Geldbusse verurteilt wurde. Im Weiteren hat sie allen Widrigkeiten zum Trotz drei Scheidungsklagen eingereicht. Sie hat damit gezeigt, dass sie durchaus in der Lage ist, sich zur Wehr zu setzen, und ist ihrem Schicksal nicht hilf- und schutzlos ausgeliefert. Es ist zu erwarten, dass sie – nötigenfalls mit anwaltlicher Hilfe – auch künftig von den türkischen Behörden effektive Schutzmassnahmen verlangen kann (vgl. zur Verpflichtung der türkischen Behörden, gemäss Gesetz Nr. 6284 Schutzmassnahmen zu ergreifen: Schweizerische Flüchtlingshilfe [SFH], Türkei: Gewalt gegen Frauen, 22. Juni 2021, Ziff. 3.2 m.w.H.). In der Türkei stehen ihr zudem diverse staatliche Stellen und Organisationen – wie etwa Frauenorganisationen – zur Verfügung, welche sie im Bedarfsfall unterstützen können. Aus ihrer Einschätzung, wonach die Frauenhäuser nicht so sicher seien und die Po- lizei bestechlich sei (vgl. SEM-act. 19, S. 12 F96), vermag sie nichts für sich abzuleiten, zumal es – wie vom SEM zu Recht festgestellt – keine objektiven Anhaltspunkte dafür gibt, dass ihr Ehemann einflussreiche Kon- takte zu den Behörden unterhalten würde. Im Übrigen ist stark zu bezwei- feln, dass das Verhältnis zwischen der Beschwerdeführerin und ihrer Fa- milie im geltend gemachten Ausmass und nachhaltig belastet ist. Wie be- reits das SEM zutreffend festgestellt hat (vgl. E. 4.1 oben und angefoch- tene Verfügung, S. 7), geht auch das Gericht davon aus, dass die Be- schwerdeführerin sich seit 2020 in der Türkei nicht in einer existenziellen Notlage, ohne jede Unterstützung, befunden hat und trotz Meinungsver- schiedenheiten bei ihrer Familie leben konnte. Dass sie ihre Tochter hinter der Türe versteckt habe, erscheint daher unglaubhaft. Hinzu kommt, dass sie – abgesehen von den erwähnten Streitereien mit ihrer Familie – keine Verfolgung durch diese geltend machte. Weiter handelt es sich bei ihrer Befürchtung, das Kind werde ihr weggenommen und mit 12 oder 13 Jahren verheiratet (vgl. SEM-act. 19, S. 14 F115), um eine blosse Mutmassung. Dennoch ist sie darauf hinzuweisen, dass die türkischen Behörden auch in einem solchen Fall als schutzfähig und schutzwillig zu erachten sind, wes- halb sie in diesem Zusammenhang ebenso behördlichen Schutz in An- spruch nehmen könnte.</w:t>
      </w:r>
    </w:p>
    <w:p>
      <w:r>
        <w:t>D-5735/2024 Seite 12</w:t>
      </w:r>
    </w:p>
    <w:p>
      <w:r>
        <w:rPr>
          <w:b/>
        </w:rPr>
        <w:t>E. 6.4</w:t>
      </w:r>
    </w:p>
    <w:p>
      <w:r>
        <w:t>Zusammenfassend ist festzuhalten, dass vom Schutzwillen und der grundsätzlichen Schutzfähigkeit der türkischen Behörden auszugehen ist und es der Beschwerdeführerin möglich und zumutbar ist, für sich und ihre Tochter in der Türkei um Schutz nachzusuchen. Das SEM hat demnach zu Recht die Flüchtlingseigenschaft der Beschwerdeführerinnen verneint und ihre Asylgesuche abgelehnt. 7. Lehnt das SEM das Asylgesuch ab oder tritt es darauf nicht ein, so verfügt es in der Regel die Wegweisung aus der Schweiz und ordnet den Vollzug an; es berücksichtigt dabei den Grundsatz der Einheit der Familie (Art. 44 AsylG). Die Beschwerdeführerinnen verfügen insbesondere weder über eine ausländerrechtliche Aufenthaltsbewilligung noch über einen Anspruch auf Erteilung einer solchen. Die Wegweisung wurde demnach ebenfalls zu Recht angeordnet (vgl. BVGE 2013/37 E. 4.4; 2009/50 E. 9, je m.w.H.). 8. 8.1 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 8.2 8.2.1 Der Vollzug ist nicht zulässig, wenn völkerrechtliche Verpflichtungen der Schweiz einer Weiterreise der Ausländerin oder des Ausländers in den Heimat-, Herkunfts- oder einen Drittstaat entgegenstehen (Art. 83 Abs. 3 AIG). 8.2.2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w:t>
      </w:r>
    </w:p>
    <w:p>
      <w:r>
        <w:t>D-5735/2024 Seite 13 lung oder Strafe (FoK, SR 0.105) und der Praxis zu Art. 3 EMRK darf nie- mand der Folter oder unmenschlicher oder erniedrigender Strafe oder Be- handlung unterworfen werden. 8.2.3 Die Vorinstanz wies in der angefochtenen Verfügung zutreffend da- rauf hin, dass der in Art. 5 AsylG verankerte Grundsatz der Nichtrückschie- bung im vorliegenden Verfahren keine Anwendung finden könne, da die Beschwerdeführerinnen die Flüchtlingseigenschaft nicht erfüllten. Eine Rückkehr der Beschwerdeführerinnen in den Heimatstaat ist demnach un- ter dem Aspekt von Art. 5 AsylG rechtmässig. 8.2.4 Sodann ergeben sich weder aus den Aussagen der Beschwerdefüh- rerin noch aus den Akten Anhaltspunkte dafür, dass sie und ihre Tochter für den Fall einer Ausschaffung in den Heimatstaat dort mit beachtlicher Wahr- scheinlichkeit einer nach Art. 3 EMRK oder Art. 1 FoK verbotenen Strafe oder Behandlung ausgesetzt wären. Gemäss der Praxis des Europäischen Gerichtshofs für Menschenrechte (EGMR) sowie jener des UN-Anti-Folter- ausschusses müssten die Beschwerdeführerinnen eine konkrete Gefahr ("real risk") nachweisen oder glaubhaft machen, dass ihnen im Fall einer Rückschiebung Folter oder unmenschliche Behandlung drohen würde (vgl. Urteil des EGMR Saadi gegen Italien vom 28. Februar 2008, Grosse Kam- mer, 37201/06, §§ 124–127 m.w.H.). Dies gelingt ihnen nach dem zuvor Gesagten nicht. Auch die allgemeine Menschenrechtssituation im Heimat- staat oder der Gesundheitszustand der Beschwerdeführerinnen lässt den Wegweisungsvollzug zum heutigen Zeitpunkt nicht als unzulässig erschei- nen. 8.2.5 Nach dem Gesagten ist der Vollzug der Wegweisung sowohl im Sinne der asyl- als auch der völkerrechtlichen Bestimmungen zulässig. 8.3 8.3.1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8.3.2 Auch unter Berücksichtigung des Wiederaufflammens des türkisch- kurdischen Konflikts sowie der bewaffneten Auseinandersetzungen zwi- schen der PKK und staatlichen Sicherheitskräften seit Juli 2015 in</w:t>
      </w:r>
    </w:p>
    <w:p>
      <w:r>
        <w:t>D-5735/2024 Seite 14 verschiedenen Provinzen im Südosten des Landes (im Einzelnen: Batman, Diyarbakir, Mardin, Siirt, Urfa und Van, anders als die Provinzen Hakkari und Sirnak, zu den Letzteren vgl. BVGE 2013/2 E. 9.6) sowie der Entwick- lungen nach dem Putschversuch von Teilen des türkischen Militärs im Juli 2016 ist gemäss konstanter Praxis des Bundesverwaltungsgerichts nicht von einer Situation allgemeiner Gewalt oder bürgerkriegsähnlichen Ver- hältnissen in der Türkei – auch nicht für Angehörige der kurdischen Ethnie – auszugehen (vgl. Urteil des BVGer E-4066/2020 vom 1. Februar 2024 E. 8.3 m.w.H.). Aufgrund des Gesagten ist keine generelle Unzumutbarkeit des Vollzugs von Wegweisungen gegeben (vgl. BVGE 2013/2 E. 9.6; Re- ferenzurteil E-1948/2018 E. 7.3.1). 8.3.3 Am 6. Februar 2023 forderten schwere Erdbeben im Südosten der Türkei tausende Todesopfer und zerstörten Grossteile der Infrastruktur. Der türkische Präsident verhängte daraufhin den Ausnahmezustand über die elf betroffenen Provinzen (Kahramanmaras, Hatay, Gaziantep, Osmaniye, Malatya, Adiyaman, Adana, Diyarbakir, Kilis, Sanliurfa und Elazig). Die ursprünglich aus der vom Erdbeben betroffenen Provinz (…) stam- mende Beschwerdeführerin verfügt über einen Sekundarschulabschluss und arbeitete bei einer Textilfirma, im Servicebereich einer Apotheke und als Putzkraft (vgl. SEM-act. 19, S. 3 F12, F16). Vor diesem Hintergrund ist davon auszugehen, dass sie bei einer Rückkehr in die Türkei wiederum eine Erwerbsmöglichkeit finden wird. Allenfalls wird ihr auch ihr arbeitstäti- ger Bruder L._______ (vgl. a.a.O., S. 5 F38) finanziell unter die Arme grei- fen können. Wie bereits festgehalten wurde, stehen ihr in der Türkei ebenso verschiedene staatliche Stellen und Organisationen zur Verfügung, bei denen sie im Bedarfsfall Unterstützung finden kann (vgl. E. 6.3). Zudem dürften ihre in der Heimat verbliebenen Familienangehörigen (Eltern, Ge- schwister, Onkel und Tanten [vgl. a.a.O., S. 5 F36, F40]) ihr bei der Rein- tegration wie auch bei der Betreuung ihrer Tochter behilflich sein, umso mehr, als sie die finanzielle Situation zwar nicht als wirklich gut, aber auch nicht als schlecht bezeichnete (vgl. a.a.O., S. 3 F19) und – wie dargelegt – stark zu bezweifeln ist, dass das Verhältnis zwischen ihr und ihrer Familie im geltend gemachten Ausmass zerrüttet ist (vgl. E. 6.3). In Anbetracht des- sen, dass sie erklärte, sie habe sich bis zur Ausreise zwei Jahre bei ihrer Familie aufgehalten, in E._______ hätte sie nicht bleiben können, weil ihr Ehemann sie dann umgebracht hätte (vgl. SEM-act. 19, S. 11 F85), ist da- von auszugehen, dass sie sich bei ihrer Familie sicher gefühlt hat und si- cher fühlen wird. Es darf ihr zugemutet werden, den seit der Ausreise ab- gebrochenen Kontakt wiederherzustellen, nötigenfalls durch Vermittlung</w:t>
      </w:r>
    </w:p>
    <w:p>
      <w:r>
        <w:t>D-5735/2024 Seite 15 durch ihren Bruder J._______, der sich in einem laufenden Verfahren be- treffend Asyl und Wegweisung vor dem Bundesverwaltungsgericht befin- det, mit der Familie in Kontakt steht und der Beschwerdeführerin denn auch über entsprechende Neuigkeiten berichtet (vgl. SEM-act. 42, S. 4 F17). Im Übrigen kann mit Blick auf die Niederlassungsfreiheit in der Türkei das Be- stehen einer innerstaatlichen Aufenthaltsalternative ausserhalb des vom Erdbeben vom Februar 2023 betroffenen Gebiets bejaht werden. Die Be- schwerdeführerin verfügt nebst ihrer Kernfamilie auch über andere Ver- wandte in der Türkei, ganz abgesehen davon, dass davon auszugehen ist, sie habe auch weitere soziale Kontakte, nicht zuletzt auch in E._______. Dass sie nur noch zu Hause gewesen sei ist nicht glaubhaft, zumal sie auch in der Lage war, sich relativ rasch an eine Anwältin zu wenden. In medizinischer Hinsicht gab die Beschwerdeführerin bei der Vorinstanz an, sie sei psychisch angeschlagen, weine ständig, könne nicht schlafen und ihre (…) würden aus der Stresssituation heraus (…). Weil es ihr nicht be- sonders gut gehe, habe sie im Asylzentrum auch nichts essen können. Deshalb leide sie an einem Vitamin-B12-Mangel und erhalte einmal wö- chentlich eine Infusion. Zudem nehme sie Vitamin D ein. Ihr Kind leide an einem Ekzem, habe Blutarmut und erhalte Medikamente. Wie den bei den Akten liegenden medizinischen Unterlagen zu entnehmen ist, diagnosti- zierte der Kinderarzt bei der Tochter einen Harnwegsinfekt. Die Beschwer- deführerin ihrerseits nahm Termine beim Zahnarzt und bei der Dermatolo- gie wahr. Ausserdem kam es bei ihr gemäss dem ambulanten Bericht des (…), (…), vom 26. Oktober 2023 zu einer notfallmässigen Ambulanzvor- stellung aufgrund starker Kopfschmerzen mit ausgeprägter Abgeschlagen- heit. Die Patientin habe unter analgetischer Therapie im Verlauf über eine Besserung der Symptomatik berichtet und in gutem Allgemeinzustand ent- lassen werden können. Es wurden ihr ein grippaler Infekt und eine Eisen- mangelanämie diagnostiziert. Als Procedere hält der Bericht eine sympto- matische Therapie mit Paracetamol und Ibuprofen sowie eine ambulante Eisensubstitution in der hausärztlichen Sprechstunde fest. Die vorliegen- den Beeinträchtigungen stehen einem Wegweisungsvollzug ins Heimat- land nicht entgegen, zumal es sich nicht um ernsthafte medizinische Prob- leme handelt. Auf Beschwerdeebene wurde denn auch nichts geltend ge- macht, was auf eine wesentliche Verschlechterung des Gesundheitszu- stands hindeuten würde. Im Übrigen verfügt die Türkei über eine ausrei- chende medizinische Infrastruktur (vgl. etwa Urteil des BVGer D- 6584/2024 vom 20. November 2024 E. 8.2.4), welche der Beschwerde- führerin auch vor der Ausreise bereits zugänglich war, weshalb sich die Beschwerdeführerinnen nötigenfalls an das dafür zuständige medizinische Fachpersonal wenden können. Auch das Kindeswohl steht einem Weg-</w:t>
      </w:r>
    </w:p>
    <w:p>
      <w:r>
        <w:t>D-5735/2024 Seite 16 weisungsvollzug nicht entgegen. So wird das Kind vorliegend zusammen mit seiner Mutter und damit seiner engsten Bezugsperson in die Türkei zu- rückkehren. Ausserdem ist angesichts des erst seit dem 10. Januar 2023 bestehenden Aufenthalts in der Schweiz auch nicht von einer fortgeschrit- tenen Integration und Verwurzelung des Kindes hierzulande auszugehen. Nach dem Gesagten erweist sich der Vollzug der Wegweisung auch in in- dividueller Hinsicht als zumutbar. 8.4 Schliesslich obliegt es den Beschwerdeführerinnen, sich bei der zu- ständigen Vertretung des Heimatstaates die für eine Rückkehr notwendi- gen Reisedokumente zu beschaffen (vgl. Art. 8 Abs. 4 AsylG und dazu auch BVGE 2008/34 E. 12), weshalb der Vollzug der Wegweisung auch als möglich zu erachten ist (Art. 83 Abs. 2 AIG). 8.5 Zusammenfassend hat die Vorinstanz den Wegweisungsvollzug zu Recht als zulässig, zumutbar und möglich bezeichnet. Eine Anordnung der vorläufigen Aufnahme fällt somit ausser Betracht (Art. 83 Abs. 1–4 AIG).</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8.2.3</w:t>
      </w:r>
    </w:p>
    <w:p>
      <w:r>
        <w:t>Die Vorinstanz wies in der angefochtenen Verfügung zutreffend darauf hin, dass der in Art. 5 AsylG verankerte Grundsatz der Nichtrückschiebung im vorliegenden Verfahren keine Anwendung finden könne, da die Beschwerdeführerinnen die Flüchtlingseigenschaft nicht erfüllten. Eine Rückkehr der Beschwerdeführerinnen in den Heimatstaat ist demnach unter dem Aspekt von Art. 5 AsylG rechtmässig.</w:t>
      </w:r>
    </w:p>
    <w:p>
      <w:r>
        <w:rPr>
          <w:b/>
        </w:rPr>
        <w:t>E. 8.2.4</w:t>
      </w:r>
    </w:p>
    <w:p>
      <w:r>
        <w:t>Sodann ergeben sich weder aus den Aussagen der Beschwerdeführerin noch aus den Akten Anhaltspunkte dafür, dass sie und ihre Tochter für den Fall einer Ausschaffung in den Heimatstaat dort mit beachtlicher Wahrscheinlichkeit einer nach Art. 3 EMRK oder Art. 1 FoK verbotenen Strafe oder Behandlung ausgesetzt wären. Gemäss der Praxis des Europäischen Gerichtshofs für Menschenrechte (EGMR) sowie jener des UN-Anti-Folterausschusses müssten die Beschwerdeführerinnen eine konkrete Gefahr ("real risk") nachweisen oder glaubhaft machen, dass ihnen im Fall einer Rückschiebung Folter oder unmenschliche Behandlung drohen würde (vgl. Urteil des EGMR Saadi gegen Italien vom 28. Februar 2008, Grosse Kammer, 37201/06, §§ 124-127 m.w.H.). Dies gelingt ihnen nach dem zuvor Gesagten nicht. Auch die allgemeine Menschenrechtssituation im Heimatstaat oder der Gesundheitszustand der Beschwerdeführerinnen lässt den Wegweisungsvollzug zum heutigen Zeitpunkt nicht als unzulässig erscheinen.</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türkisch-kurdischen Konflikts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vgl. BVGE 2013/2 E. 9.6) sowie der Entwicklungen nach dem Putschversuch von Teilen des türkischen Militärs im Juli 2016 ist gemäss konstanter Praxis des Bundesverwaltungsgerichts nicht von einer Situation allgemeiner Gewalt oder bürgerkriegsähnlichen Verhältnissen in der Türkei - auch nicht für Angehörige der kurdischen Ethnie - auszugehen (vgl. Urteil des BVGer E-4066/2020 vom 1. Februar 2024 E. 8.3 m.w.H.). Aufgrund des Gesagten ist keine generelle Unzumutbarkeit des Vollzugs von Wegweisungen gegeben (vgl. BVGE 2013/2 E. 9.6; Referenzurteil E-1948/2018 E. 7.3.1).</w:t>
      </w:r>
    </w:p>
    <w:p>
      <w:r>
        <w:rPr>
          <w:b/>
        </w:rPr>
        <w:t>E. 8.3.3</w:t>
      </w:r>
    </w:p>
    <w:p>
      <w:r>
        <w:t>Am 6. Februar 2023 forderten schwere Erdbeben im Südosten der Türkei tausende Todesopfer und zerstörten Grossteile der Infrastruktur. Der türkische Präsident verhängte daraufhin den Ausnahmezustand über die elf betroffenen Provinzen (Kahramanmaras, Hatay, Gaziantep, Osmaniye, Malatya, Adiyaman, Adana, Diyarbakir, Kilis, Sanliurfa und Elazig). Die ursprünglich aus der vom Erdbeben betroffenen Provinz (...) stammende Beschwerdeführerin verfügt über einen Sekundarschulabschluss und arbeitete bei einer Textilfirma, im Servicebereich einer Apotheke und als Putzkraft (vgl. SEM-act. 19, S. 3 F12, F16). Vor diesem Hintergrund ist davon auszugehen, dass sie bei einer Rückkehr in die Türkei wiederum eine Erwerbsmöglichkeit finden wird. Allenfalls wird ihr auch ihr arbeitstätiger Bruder L._______ (vgl. a.a.O., S. 5 F38) finanziell unter die Arme greifen können. Wie bereits festgehalten wurde, stehen ihr in der Türkei ebenso verschiedene staatliche Stellen und Organisationen zur Verfügung, bei denen sie im Bedarfsfall Unterstützung finden kann (vgl. E. 6.3). Zudem dürften ihre in der Heimat verbliebenen Familienangehörigen (Eltern, Geschwister, Onkel und Tanten [vgl. a.a.O., S. 5 F36, F40]) ihr bei der Reintegration wie auch bei der Betreuung ihrer Tochter behilflich sein, umso mehr, als sie die finanzielle Situation zwar nicht als wirklich gut, aber auch nicht als schlecht bezeichnete (vgl. a.a.O., S. 3 F19) und - wie dargelegt - stark zu bezweifeln ist, dass das Verhältnis zwischen ihr und ihrer Familie im geltend gemachten Ausmass zerrüttet ist (vgl. E. 6.3). In Anbetracht dessen, dass sie erklärte, sie habe sich bis zur Ausreise zwei Jahre bei ihrer Familie aufgehalten, in E._______ hätte sie nicht bleiben können, weil ihr Ehemann sie dann umgebracht hätte (vgl. SEM-act. 19, S. 11 F85), ist davon auszugehen, dass sie sich bei ihrer Familie sicher gefühlt hat und sicher fühlen wird. Es darf ihr zugemutet werden, den seit der Ausreise abgebrochenen Kontakt wiederherzustellen, nötigenfalls durch Vermittlung durch ihren Bruder J._______, der sich in einem laufenden Verfahren betreffend Asyl und Wegweisung vor dem Bundesverwaltungsgericht befindet, mit der Familie in Kontakt steht und der Beschwerdeführerin denn auch über entsprechende Neuigkeiten berichtet (vgl. SEM-act. 42, S. 4 F17). Im Übrigen kann mit Blick auf die Niederlassungsfreiheit in der Türkei das Bestehen einer innerstaatlichen Aufenthaltsalternative ausserhalb des vom Erdbeben vom Februar 2023 betroffenen Gebiets bejaht werden. Die Beschwerdeführerin verfügt nebst ihrer Kernfamilie auch über andere Verwandte in der Türkei, ganz abgesehen davon, dass davon auszugehen ist, sie habe auch weitere soziale Kontakte, nicht zuletzt auch in E._______. Dass sie nur noch zu Hause gewesen sei ist nicht glaubhaft, zumal sie auch in der Lage war, sich relativ rasch an eine Anwältin zu wenden. In medizinischer Hinsicht gab die Beschwerdeführerin bei der Vorinstanz an, sie sei psychisch angeschlagen, weine ständig, könne nicht schlafen und ihre (...) würden aus der Stresssituation heraus (...). Weil es ihr nicht besonders gut gehe, habe sie im Asylzentrum auch nichts essen können. Deshalb leide sie an einem Vitamin-B12-Mangel und erhalte einmal wöchentlich eine Infusion. Zudem nehme sie Vitamin D ein. Ihr Kind leide an einem Ekzem, habe Blutarmut und erhalte Medikamente. Wie den bei den Akten liegenden medizinischen Unterlagen zu entnehmen ist, diagnostizierte der Kinderarzt bei der Tochter einen Harnwegsinfekt. Die Beschwerdeführerin ihrerseits nahm Termine beim Zahnarzt und bei der Dermatologie wahr. Ausserdem kam es bei ihr gemäss dem ambulanten Bericht des (...), (...), vom 26. Oktober 2023 zu einer notfallmässigen Ambulanzvorstellung aufgrund starker Kopfschmerzen mit ausgeprägter Abgeschlagenheit. Die Patientin habe unter analgetischer Therapie im Verlauf über eine Besserung der Symptomatik berichtet und in gutem Allgemeinzustand entlassen werden können. Es wurden ihr ein grippaler Infekt und eine Eisenmangelanämie diagnostiziert. Als Procedere hält der Bericht eine symptomatische Therapie mit Paracetamol und Ibuprofen sowie eine ambulante Eisensubstitution in der hausärztlichen Sprechstunde fest. Die vorliegenden Beeinträchtigungen stehen einem Wegweisungsvollzug ins Heimatland nicht entgegen, zumal es sich nicht um ernsthafte medizinische Probleme handelt. Auf Beschwerdeebene wurde denn auch nichts geltend gemacht, was auf eine wesentliche Verschlechterung des Gesundheitszustands hindeuten würde. Im Übrigen verfügt die Türkei über eine ausreichende medizinische Infrastruktur (vgl. etwa Urteil des BVGer D-6584/2024 vom 20. November 2024 E. 8.2.4), welche der Beschwerde-führerin auch vor der Ausreise bereits zugänglich war, weshalb sich die Beschwerdeführerinnen nötigenfalls an das dafür zuständige medizinische Fachpersonal wenden können. Auch das Kindeswohl steht einem Weg-weisungsvollzug nicht entgegen. So wird das Kind vorliegend zusammen mit seiner Mutter und damit seiner engsten Bezugsperson in die Türkei zurückkehren. Ausserdem ist angesichts des erst seit dem 10. Januar 2023 bestehenden Aufenthalts in der Schweiz auch nicht von einer fortgeschrittenen Integration und Verwurzelung des Kindes hierzulande auszugehen. Nach dem Gesagten erweist sich der Vollzug der Wegweisung auch in individueller Hinsicht als zumutbar.</w:t>
      </w:r>
    </w:p>
    <w:p>
      <w:r>
        <w:rPr>
          <w:b/>
        </w:rPr>
        <w:t>E. 8.4</w:t>
      </w:r>
    </w:p>
    <w:p>
      <w:r>
        <w:t>Schliesslich obliegt es den Beschwerdeführerinnen, sich bei der zuständigen Vertretung des Heimatstaates die für eine Rückkehr notwendigen Reisedokumente zu beschaffen (vgl. Art. 8 Abs. 4 AsylG und dazu auch BVGE 2008/34 E. 12), weshalb der Vollzug der Wegweisung auch als möglich zu erachten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den Beschwer- deführerinnen aufzuerlegen (Art. 63 Abs. 1 VwVG). Das Gesuch um unent- geltliche Prozessführung wurde jedoch mit Zwischenverfügung vom 20. September 2024 gutgeheissen, weshalb keine Verfahrenskosten zu er- heben sind.</w:t>
      </w:r>
    </w:p>
    <w:p>
      <w:r>
        <w:rPr>
          <w:b/>
        </w:rPr>
        <w:t>E. 10.2</w:t>
      </w:r>
    </w:p>
    <w:p>
      <w:r>
        <w:t>Mit derselben Zwischenverfügung wurde auch das Gesuch um amtli- che Verbeiständung gutgeheissen und den Beschwerdeführerinnen ihre Rechtsvertreterin, Rechtsanwältin Nadja Zink, als Rechtsbeiständin beige- ordnet. Der amtlichen Rechtsbeiständin ist demzufolge der Aufwand ihrer Rechtsvertretung zu entschädigen (vgl. für die Grundsätze der Bemessung des amtlichen Honorars ausserdem Art. 8–11 i.V.m. Art. 12 des Regle- ments vom 21. Februar 2008 über die Kosten und Entschädigungen vor dem Bundesverwaltungsgericht [VGKE, SR 173.320.2]). Nachdem keine Kostennote eingereicht wurde, setzt das Gericht die Entschädigung auf- grund der Akten fest (Art. 14 Abs. 2 VGKE). Der Rechtsbeiständin ist aus</w:t>
      </w:r>
    </w:p>
    <w:p>
      <w:r>
        <w:t>D-5735/2024 Seite 17 der Gerichtskasse ein amtliches Honorar in der Höhe von insgesamt Fr. 1'000.‒ (inkl. Auslagen) zuzüglich Fr. 81.– Mehrwertsteuer auszurich- ten.</w:t>
      </w:r>
    </w:p>
    <w:p>
      <w:r>
        <w:t>(Dispositiv nächste Seite)</w:t>
      </w:r>
    </w:p>
    <w:p>
      <w:r>
        <w:t>D-5735/2024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