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D-5724/2011 vom 30. November 2011</w:t>
      </w:r>
    </w:p>
    <w:p>
      <w:r>
        <w:t>Bundesverwaltungsgericht, 2011-11-30, DE</w:t>
      </w:r>
    </w:p>
    <w:p>
      <w:r>
        <w:rPr>
          <w:b/>
        </w:rPr>
        <w:t xml:space="preserve">Quelle: </w:t>
      </w:r>
      <w:r>
        <w:t>https://mcp.opencaselaw.ch/entscheid/bvger_D-5724_2011</w:t>
      </w:r>
    </w:p>
    <w:p>
      <w:r>
        <w:t>FR: TAF D-5724/2011 du 30 novembre 2011</w:t>
      </w:r>
    </w:p>
    <w:p>
      <w:r>
        <w:t>IT: TAF D-5724/2011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 unter Vorbehalt der nachfolgenden Erwägung - zur Einreichung der Beschwerde legitimiert (Art. 105 und Art. 108 Abs. 2 AsylG, Art. 48 Abs. 1 sowie Art. 52 VwVG). Auf die Beschwerde ist einzutreten.Wie sich aus Art. 42 AsylG ergibt, hat die Beschwerde von Gesetzes wegen aufschiebende Wirkung, weshalb auf das entsprechende Feststellungsbegehren mangels Rechtsschutzinteresse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Beschwerdeschrift macht der Beschwerdeführer im Wesentlichen geltend, es seien ihm die Akten des ersten Asylgesuchs, das er auf der Schweizer Botschaft in Colombo gestellt habe, nicht ausgehändigt worden, obwohl im angefochtenen Entscheid darauf verwiesen werde. Dementsprechend bezögen sich die Ausführungen in der Beschwerdeschrift ausschliesslich auf die Akten des zweiten Asylgesuchs. Ergänzende Ausführungen betreffend die Akten des ersten Gesuchs würden ausdrücklich vorbehalten. Was die Asylgründe des Beschwerdeführers anbelange, so habe die Vorinstanz die Situation, in der sich dieser befinde, unzutreffend eingeschätzt. Der Beschwerdeführer habe nämlich eine wichtige Funktion in der Bank innegehabt und werde vom sri-lankischen Geheimdienst als wichtige Figur angesehen, weil er Kenntnisse über Mitglieder der LTTE sowie über die Bank habe. Da der sri-lankische Geheimdienst den Beschwerdeführer schon viermal aufgesucht habe, könne sich dieser trotz gerichtlichen Freispruchs noch lange nicht sicher fühlen. Zudem komme es häufig vor, dass Personen zunächst mangels Beweisen freigesprochen und zu einem späteren Zeitpunkt heimlich ausgeschaltet würden. Die Suche nach dem Tresor sei im Übrigen, wie die Festnahme des Filialleiters der Bank illustriere, nach wie vor aktuell. Der Beschwerdeführer befürchte, dieser Mann habe ihn zu seinem eigenen Schutz für das Verschwinden des Tresors und des Geldes verantwortlich gemacht, weshalb zu erwarten sei, bei seiner Rückkehr nach Sri Lanka lägen gegen ihn schwere Vorwürfe in der Luft. Unter diesen Umständen sei davon auszugehen, er gelte bei den Behörden als LTTE-Unterstützer. In diesem Sinne weise der Beschwerdeführer durchaus ein Gefährdungsprofil auf und habe gut begründete Furcht vor asylrelevanter Verfolgung in seinem Heimatstaat. Dementsprechend erfülle er die Anforderungen an die Flüchtlingseigenschaft gemäss Art. 3 AsylG ohne Weiteres. Dies umso mehr, als die Vorinstanz dem Beschwerdeführer zu Unrecht den Vorwurf gemacht habe, unlogisch zu argumentieren. Was die Zumutbarkeit des Wegweisungsvollzugs anbelange, so könne der Beschwerdeführer keinen Schutz bei seinen Familienangehörigen in Jaffna finden, weil es für die Familie zu riskant sei, ihn aufzunehmen. Dementsprechend werde seine Rückkehr aufgrund seines sozialen und familiären Beziehungsnetzes nicht vereinfacht, da er nicht mehr bei seiner Familie wohnen könne. Zusammenfassend könne festgehalten werden, dass die aktuelle Sicherheits- und Menschenrechtslage im Osten und Norden Sri Lankas trotz Beendigung des Bürgerkriegs im Mai 2009 noch klar ungenügend sei, weshalb die Rückkehr als unzumutbar zu qualifizieren sei.</w:t>
      </w:r>
    </w:p>
    <w:p>
      <w:r>
        <w:rPr>
          <w:b/>
        </w:rPr>
        <w:t>E. 5.2</w:t>
      </w:r>
    </w:p>
    <w:p>
      <w:r>
        <w:t>Wie sich aus den Akten ergibt, liess der Beschwerdeführer die Verfügung vom 30. März 2010 des BFM unangefochten in Rechtskraft erwachsen; in diesem Zusammenhang stellte das BFM fest, der Beschwerdeführer sei nicht schutzbedürftig im Sinne des Asylgesetzes (Art. 3 AsylG) und lehnte das Asylgesuch ab. Wie sich aus prozessualen Grundsätzen ergibt, kann die bereits beurteilte Sachverhaltsdarstellung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 Dementsprechend geht es nachstehend einzig noch um die Beurteilung der vom Beschwerdeführer für die Zeit nach dem 30. März 2010 geltend gemachten asylrechtlich relevanten Probleme. Zwar verwies das BFM in der angefochtenen Verfügung im Zusammenhang mit dem Gefährdungsprofil des Beschwerdeführers auf die Akten des Auslandverfahrens. Indessen ergibt sich das Gefährdungsprofil des Beschwerdeführers vor dem 30. März 2010 nicht aus den Akten des abgeschlossenen Verfahrens, sondern ausschliesslich aus den Erwägungen der in Rechtskraft erwachsenen Verfügung. Diese wurde dem Beschwerdeführer unbestrittenermassen eröffnet, weshalb in diesem Zusammenhang keine Verletzung des rechtlichen Gehörs vorliegt, wenn ihm die Akten des Auslandverfahrens nicht zugestellt wurden.</w:t>
      </w:r>
    </w:p>
    <w:p>
      <w:r>
        <w:rPr>
          <w:b/>
        </w:rPr>
        <w:t>E. 5.3</w:t>
      </w:r>
    </w:p>
    <w:p>
      <w:r>
        <w:t>Wie die Vorinstanz zu Recht festgehalten hat, vermögen die Vorbringen des Beschwerdeführers nicht zu überzeugen. Bereits im Zusammenhang mit der Schilderung seines Reisewegs ergeben sich nämlich die ersten wesentlichen Unstimmigkeiten. So will der Beschwerdeführer ausgerechnet über den bestens überwachten Flughafen von Colombo aus dem Heimatstaat ausgereist sein, dies mittels eines echten Reisepasses, welcher zwar seine Passfoto enthalten habe, aber auf eine Person namens B._______ (geboren [...], Sri Lanka) ausgestellt gewesen sein soll. Darüber hinaus habe der verfälschte Reisepass ein sechs Monate gültiges Touristenvisum mit einer Gültigkeitsdauer von Dezember 2010 bis Mai 2011 für Italien enthalten (B4/10 Ziff. 16 S. 6, Ziff. 13.1 S. 4). Bezeichnenderweise war der Beschwerdeführer jedoch nicht in der Lage, den für den Flug benutzten Reisepass zu den Akten zu reichen, dies mit der unglaubhaften Begründung, der für den Flug benützte Pass sei wie sein eigener, im Jahre 2009 ausgestellter Reisepass beim Schlepper in Italien verblieben. Derartige Unstimmigkeiten bezüglich des Reisewegs beziehungsweise zu den dabei verwendeten Papieren lassen praxisgemäss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 So etwa zeichnen sich die neuen Asylgründe des Beschwerdeführers durch ihren wirklichkeitsfremden Charakter aus. Unplausibel erscheint beispielsweise, dass Angehörige des sri-lankischen Geheimdienstes den Beschwerdeführer im Juli 2010, also mehr als ein Jahr nach Beendigung des Bürgerkriegs, hätten aufsuchen sollen, um sich eine Bankfiliale, den vormaligen Arbeitsort des Beschwerdeführers in Kilinochchi, zeigen und zu versteckten Tresoren, gefüllt mit allerlei Kostbarkeiten, führen zu lassen, wobei diese Aktion insoweit als von vornherein unnütz erscheint, als die Bankfiliale nach der Kündigung des Beschwerdeführers nach M._______ verlegt worden sein soll (B10/9 F24 ff. S. 3 ff.). Vermutlich wäre es den Agenten des CID jedoch schon vor der angeblichen Reise nach Kilinochchi eingefallen, vorgängig die den Beschwerdeführer betreffenden Akten zu prüfen und bei dieser Gelegenheit die früheren Vorbringen des Beschwerdeführers zu konsultieren (vgl. a.a.O. F39 S. 5). Wenn die Agenten des CID der Meinung gewesen wären, der Beschwerdeführer wisse tatsächlich etwas über den Verbleib der Tresore, hätten sie sich mit Sicherheit anders verhalten als es der Beschwerdeführer in der Begründung seines Asylgesuchs schildert, zumal eine Observation unter den gegebenen Begleitumständen eher Aussicht auf Erfolg geboten hätte. Die vom Beschwerdeführer geschilderte, unprofessionelle Vorgehensweise der angeblichen Geheimdienstler lässt den Schluss zu, der Beschwerdeführer hat bei seinen Schilderungen nicht auf Erinnerungen an tatsächliche Begebenheiten zurückgreifen können, sondern die von ihm im Rahmen seines zweiten Asylverfahrens geschilderte Verfolgungssituation erfunden.</w:t>
      </w:r>
    </w:p>
    <w:p>
      <w:r>
        <w:rPr>
          <w:b/>
        </w:rPr>
        <w:t>E. 5.4</w:t>
      </w:r>
    </w:p>
    <w:p>
      <w:r>
        <w:t>Bei dieser Sachlage erübrigt es sich, auf weitere Vorbringen oder Beweismittel näher einzugehen. Stattdessen ist zusammenfassend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Sri Lanka herrscht zur Zeit weder Krieg, Bürgerkrieg noch liegt eine Situation allgemeiner Gewalt vor (vgl. BVGE E-6220/2006 E. 10 ff.). Zu prüfen ist indessen, ob anderweitige Probleme des Beschwerdeführers allenfalls individuelle Gründe darstellen, welche gegen die Zumutbarkeit des Wegweisungsvollzugs sprechen. Es sind auch keine individuellen Gründe ersichtlich, welche die Rückkehr des den Akten zufolge nach wie vor jungen und gesunden, nicht aus dem "Vanni-Gebiet" stammenden Beschwerdeführers als unzumutbar erscheinen lassen würden. In den Akten finden sich keine konkreten Anhaltspunkte dafür, dass er aus individuellen Gründen wirtschaftlicher oder sozialer Natur in eine existenzbedrohende Situation geraten würde. Vielmehr ist den Akten zu entnehmen, dass er im Heimatstaat über ein grosses soziales Beziehungsnetz verfügt (B4/10 Ziff. 11 S. 3), das ihn nötigenfalls unterstützen kann. Ausserdem verfügt der Beschwerdeführer nach eigenen Angaben über Führungs- und Bankerfahrung, weshalb davon auszugehen ist, er werde im Heimatstaat wieder wirtschaftlich Fuss fassen können. Er muss somit nicht damit rechnen, nach der Rückkehr mit einer existenziellen Notlage konfrontiert zu sein.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9.1</w:t>
      </w:r>
    </w:p>
    <w:p>
      <w:r>
        <w:t>Mit dem Entscheid in der Hauptsache ist das Gesuch um Verzicht auf die Erhebung eines Kostenvorschusses gegenstandslos geworden.</w:t>
      </w:r>
    </w:p>
    <w:p>
      <w:r>
        <w:rPr>
          <w:b/>
        </w:rPr>
        <w:t>E. 9.2</w:t>
      </w:r>
    </w:p>
    <w:p>
      <w:r>
        <w:t>Wie sich aus den vorangehenden Erwägungen ergibt, muss die Beschwerde als aussichtslos bezeichnet werden, weshalb die Gesuche um Gewährung der unentgeltlichen Rechtspflege im Sinne von Art. 65 Abs. 1 und 2 VwVG abzuweisen sind.</w:t>
      </w:r>
    </w:p>
    <w:p>
      <w:r>
        <w:rPr>
          <w:b/>
        </w:rPr>
        <w:t>E. 9.3</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