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D-5715/2016 vom 4. Mai 2017</w:t>
      </w:r>
    </w:p>
    <w:p>
      <w:r>
        <w:t>Bundesverwaltungsgericht, 2017-05-04, IT</w:t>
      </w:r>
    </w:p>
    <w:p>
      <w:r>
        <w:rPr>
          <w:b/>
        </w:rPr>
        <w:t xml:space="preserve">Quelle: </w:t>
      </w:r>
      <w:r>
        <w:t>https://mcp.opencaselaw.ch/entscheid/bvger_D-5715_2016</w:t>
      </w:r>
    </w:p>
    <w:p>
      <w:r>
        <w:t>FR: TAF D-5715/2016 du 4 mai 2017</w:t>
      </w:r>
    </w:p>
    <w:p>
      <w:r>
        <w:t>IT: TAF D-5715/2016 del 4 maggio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La ricorrente ha partecipato al procedimento dinanzi all'autorità inferiore, è particolarmente toccata dalla decisione impugnata e vanta un interesse degno di protezione all'annullamento o alla modificazione della stessa (art. 48 cpv. 1 lett. a-c PA). Ella è pertanto legittimata ad aggravarsi contro di essa.</w:t>
      </w:r>
    </w:p>
    <w:p>
      <w:r>
        <w:rPr>
          <w:b/>
        </w:rPr>
        <w:t>E. 1.3</w:t>
      </w:r>
    </w:p>
    <w:p>
      <w:r>
        <w:t>I requisiti relativi alla forma e al contenuto dell'atto di ricorso (art. 52 cpv. 1 PA) sono parimenti soddisfatti.</w:t>
      </w:r>
    </w:p>
    <w:p>
      <w:r>
        <w:rPr>
          <w:b/>
        </w:rPr>
        <w:t>E. 1.4</w:t>
      </w:r>
    </w:p>
    <w:p>
      <w:r>
        <w:t>Resta ora da determinare quale sia la valenza della dichiarazione di rinuncia unilaterale a depositare un ricorso sottoscritta dalla ricorrente e dalla persona di fiducia ai sensi dell'art. 17 cpv. 3 LAsi in data 19 agosto 2016 (cfr. atto A24).</w:t>
      </w:r>
    </w:p>
    <w:p>
      <w:r>
        <w:rPr>
          <w:b/>
        </w:rPr>
        <w:t>E. 1.4.1</w:t>
      </w:r>
    </w:p>
    <w:p>
      <w:r>
        <w:t>Vista la minore età della ricorrente al momento della sottoscrizione di tale atto, pare opportuno apprezzare in via preliminare se ella abbia o meno potuto impegnarsi in tal senso ossequiando ai disposti applicabili in ambito di capacità civile e processuale.</w:t>
      </w:r>
    </w:p>
    <w:p>
      <w:r>
        <w:rPr>
          <w:b/>
        </w:rPr>
        <w:t>E. 1.4.1.1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5.2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1.4.1.2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Berna 2014, n. 170).</w:t>
      </w:r>
    </w:p>
    <w:p>
      <w:r>
        <w:rPr>
          <w:b/>
        </w:rPr>
        <w:t>E. 1.4.1.3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1.4.1.4</w:t>
      </w:r>
    </w:p>
    <w:p>
      <w:r>
        <w:t>Nel caso in disamina, vista l'età della ricorrente, l'esistenza della capacità di discernimento non può essere posta in discussione. Alla luce di quanto esposto sin qui, se ne può dunque a ragione concludere che l'interessata sia stata legittimata a sottoscrivere sola la rinuncia la cui validità è dunque sotto tale aspetto da considerarsi pacifica. In tal senso, la contemporanea sottoscrizione di tale atto da parte della persona di fiducia nulla toglie e nulla aggiunge a tale rigore ma attesta semmai la contemporanea presenza di tale figura al momento della firma.</w:t>
      </w:r>
    </w:p>
    <w:p>
      <w:r>
        <w:rPr>
          <w:b/>
        </w:rPr>
        <w:t>E. 1.4.2</w:t>
      </w:r>
    </w:p>
    <w:p>
      <w:r>
        <w:t>Giunti a questa conclusione, si pone ora la questione della validità stricto sensu della rinuncia litigiosa.</w:t>
      </w:r>
    </w:p>
    <w:p>
      <w:r>
        <w:rPr>
          <w:b/>
        </w:rPr>
        <w:t>E. 1.4.2.1</w:t>
      </w:r>
    </w:p>
    <w:p>
      <w:r>
        <w:t>Genericamente, in diritto amministrativo, una rinuncia ad un diritto procedurale è di principio possibile purché si riferisca ad una facoltà concreta ed in libera disposizione delle parti (cfr. Peter Saladin, Das Verwaltungsverfahren des Bundes, Basilea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sentenza del TAF D-6152/2013 consid. 1.4.2).</w:t>
      </w:r>
    </w:p>
    <w:p>
      <w:r>
        <w:rPr>
          <w:b/>
        </w:rPr>
        <w:t>E. 1.4.2.2</w:t>
      </w:r>
    </w:p>
    <w:p>
      <w:r>
        <w:t>Considerato quanto precede, la dichiarazione di rinuncia presente agli atti deve di principio essere ritenuta valida. Essa si riferisce infatti ad un concreto diritto processuale (o post-processuale) in libera disposizione dell'interessata e meglio, alla facoltà di interporre ricorso contro la decisione dell'autorità di prima istanza. In tal senso, occorre considerare che la decisione qui impugnata sia cresciuta in giudicato al momento della sottoscrizione di tale rinuncia.</w:t>
      </w:r>
    </w:p>
    <w:p>
      <w:r>
        <w:rPr>
          <w:b/>
        </w:rPr>
        <w:t>E. 1.4.2.3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1.4.2.4</w:t>
      </w:r>
    </w:p>
    <w:p>
      <w:r>
        <w:t>Tornando ora al caso che ci occupa ed in particolare alla doglianza della ricorrente circa il fatto che un primo indizio della mancata comprensione del tenore della rinuncia a ricorrere da lei sottoscritta sarebbe da relazionare proprio alla circostanza stessa del successivo deposito del ricorso, va anzitutto rilevato che tale argomentazione non può essere seguita. Ammettere infatti che il solo fatto di aver inoltrato un ricorso successivamente alla rinuncia sia sufficiente a rendere quest'ultima inefficace equivarrebbe de facto a considerare un tale atto liberamente revocabile, cosa che non corrisponde ed anzi risulta contrario a quanto esposto sin qui. A pari apprezzamento si giunge anche relativamente alle altre argomentazioni addotte da parte ricorrente. È infatti pacifico che, non essendo i motivi fondanti una tale decisione decisivi, il solo fatto che dal documento non sia evidenziabile se la ricorrente sia o meno stata edotta circa le differenze tra l'ammissione provvisoria e il riconoscimento della qualità di rifugiato non basta a concludere all'esistenza di un vizio della volontà. Pure il fatto che la sottoscrizione della rinuncia litigiosa sia avvenuta lo stesso giorno della notifica della decisione impugnata non è sufficiente indizio di volontà viziata. Come si evince infatti dalle delucidazioni dell'autorità di prime cure (peraltro incontestate su tale punto di questione), non si è trattato di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In tale occasione, la ricorrente ha inoltre beneficiato di un momento di riflessione laddove ella ha potuto discutere con la persona di fiducia, al fine di maturare la propria decisione in merito (anche tale aspetto non è stato contestato). In tal senso, non vi è nemmeno luogo di considerare che l'interessata non abbia compreso quanto ella si apprestava a sottoscrivere a causa della presenza di difficoltà linguistiche, dal momento che sul punto della notifica della decisione impugnata e del successivo avallo dell'atto di rinuncia a ricorrere è regolarmente intervenuto un interprete della lingua tigrigna. Infine, l'argomentazione della ricorrente secondo cui mal si capirebbe la necessità di un tale agire, ferma considerata la ratio legis della disposizione che prevede un termine di 30 giorni per inoltrare il ricorso ed il fatto ch'ella non avrebbe ottenuto alcun vantaggio dalla sottoscrizione della rinuncia è a sua volta priva di rilevanza. Anzitutto, occorre a tal proposito rilevare che ritenere un tale argomento equivarrebbe a considerare la rinuncia inefficace in quanto tale, dal momento che la legge prevede sempre un termine per ricorrere e che quest'ultima, per sua stessa natura, interverrebbe in ogni caso prima della scadenza dello stesso. Infine, il fatto di non avere avuto alcun vantaggio, oltre a non essere in alcun modo decisivo va inoltre relativizzato dal fatto che nel caso in esame tale agire è sfociato nella celere attribuzione della ricorrente ad un cantone, cosa che ha avuto in concreto il risultato di accelerarne il processo di integrazione (seppur va ricordato che nulla vieti alla SEM di procedere già prima ad una tale ripartizione; cfr. art. 27 LAsi).</w:t>
      </w:r>
    </w:p>
    <w:p>
      <w:r>
        <w:rPr>
          <w:b/>
        </w:rPr>
        <w:t>E. 1.4.2.5</w:t>
      </w:r>
    </w:p>
    <w:p>
      <w:r>
        <w:t>Si può dunque partire dal presupposto che in specie non siano ravvisabili gli estremi per considerare che la rinuncia a ricorrere sia stata posta in essere in presenza di un vizio della volontà. Pertanto, vi è luogo di confermarne la validità di principio.</w:t>
      </w:r>
    </w:p>
    <w:p>
      <w:r>
        <w:rPr>
          <w:b/>
        </w:rPr>
        <w:t>E. 1.4.2.6</w:t>
      </w:r>
    </w:p>
    <w:p>
      <w:r>
        <w:t>Quo ai dubbi sollevati dalla ricorrente circa l'agire della persona di fiducia in particolare relativamente al fatto che la minore avrebbe dovuto disporre di un periodo di riflessione più lungo, occorre anzitutto ricordare che tale figura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Ora, nel caso esame non vi sono agli atti elementi concreti che permettano di mettere in discussione le conoscenze e l'agire della persona chiamata a svolgere tale ruolo. In specie, il profilo scelto dispone infatti, alla luce della sua formazione, delle qualifiche necessarie ai sensi della giurisprudenza e ha inoltre agito in piena indipendenza dall'autorità di prime cure. Il Tribunale non può inoltre in questa sede dedurre alcunché da valutazioni di opportunità circa il fatto che tale figura avrebbe in specie dovuto "concedere" maggior tempo alla ricorrente o astenersi dalla sottoscrizione. Come detto, la questione qui oggetto di disamina è la validità della rinuncia a ricorrere presente agli atti, validità che va apprezzata al momento della sottoscrizione della stessa per mezzo di un esame circa l'esistenza di eventuali vizi della volontà e non fornendo una presa di posizione personale sullo svolgersi degli eventi precedenti e susseguenti. Quanto alle valutazioni circa l'opportunità o meno di ricorrere, va ricordato come non stia al Tribunale sostituirsi a quanto ritenuto in tale sede dalla persona di fiducia incaricata. Si può infatti partire dal presupposto che fino a prova contraria, quest'ultima, forte dell'esperienza nella materia e sulla base di valutazioni di varia natura, non quindi solo di merito, abbia in quel momento ritenuto opportuno consigliare alla minore di procedere alla sottoscrizione. Quandanche si possa infatti giungere a conclusione che nel caso in esame l'interessata avrebbe avuto concrete possibilità di successo in sede ricorsuale, ciò non sarebbe ad esso solo elemento per ritenere che la persona incaricata abbia agito senza la dovuta perizia, non potendo il Tribunale apprezzare le valutazioni che hanno portato alla sottoscrizione della rinuncia, ed essendo peraltro le stesse a loro volta ininfluenti.</w:t>
      </w:r>
    </w:p>
    <w:p>
      <w:r>
        <w:rPr>
          <w:b/>
        </w:rPr>
        <w:t>E. 1.4.3</w:t>
      </w:r>
    </w:p>
    <w:p>
      <w:r>
        <w:t>Occorre dunque concludere che la rinuncia a ricorrere del 19 agosto 2016 sia stata validamente sottoscritta dall'interessata.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della ricorrente erano sin dall'inizio prive di probabilità di successo. Venendo meno le condizioni per la concessione dell'assistenza giudiziaria, la richiesta di gratuito patrocinio va a sua volta respinta (cfr. art. 110a cpv. 1 lett. a LAsi).</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 (dispositivo alla pagina seguente) il Tribunale amministrativo federale pronuncia: 1. Il ricorso è inammissibile. 2. Le domande di assistenza giudiziaria e di gratuito patrocinio sono respinte. 3. Non si prelevano spese processuali. 4. Questa sentenza è comunicata alla ricorrente, alla SEM e all'autorità cantonale competente. Il presidente del collegio: Il cancelliere: Daniele Cattaneo Lorenzo Rapelli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