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D-5714/2009 vom 13. November 2009</w:t>
      </w:r>
    </w:p>
    <w:p>
      <w:r>
        <w:t>Bundesverwaltungsgericht, 2009-11-13, DE</w:t>
      </w:r>
    </w:p>
    <w:p>
      <w:r>
        <w:rPr>
          <w:b/>
        </w:rPr>
        <w:t xml:space="preserve">Quelle: </w:t>
      </w:r>
      <w:r>
        <w:t>https://mcp.opencaselaw.ch/entscheid/bvger_D-5714_2009</w:t>
      </w:r>
    </w:p>
    <w:p>
      <w:r>
        <w:t>FR: TAF D-5714/2009 du 13 novembre 2009</w:t>
      </w:r>
    </w:p>
    <w:p>
      <w:r>
        <w:t>IT: TAF D-5714/2009 del 13 novembre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Die Beschwerdeführenden sind durch die angefochtene Verfügung berührt und haben ein schutzwürdiges Interesse an deren Aufhebung beziehungsweise Änderung. Die Beschwerdeführenden sind daher zur Einreichung der Beschwerde legitimiert (Art. 6 AsylG i.V.m. Art. 48 Abs. 1 sowie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hielt zur Begründung des ablehnenden Asylentscheides im Wesentlichen fest, im Zuge des demokratischen Wandels habe sich die Situation der ethnischen Minderheiten in Serbien entspannt. So sei am 25. Februar 2002 das Bundesgesetz zum Schutz und zur Freiheit der nationalen Minoritäten in Kraft getreten. Es handle sich dabei um einen gesetzlichen Rahmen, der die Rechte der nationalen Minderheiten und der Angehörigen von ethnischen Minderheiten schütze. Auch die Roma seien als nationale Minderheit anerkannt worden. Vereinzelte Übergriffe durch Drittpersonen auf Roma könnten zwar nicht restlos ausgeschlossen werden; indessen komme solchen Verfolgungsmassnahmen in der Regel keine asylrelevante Intensität zu. Ausserdem billige oder unterstütze der Staat solche Übergriffe nicht. Die von den Beschwerdeführern dargelegten Vorfälle würden auch in Serbien Straftatbestände darstellen, welche strafrechtlich verfolgt würden, weshalb es ihnen zumutbar gewesen wäre, sich an die Behörden zu wenden und dort um Schutz zu ersuchen. Die Beschwerdeführer hätten es indessen unterlassen, bei der Polizei Anzeige zu erstatten, womit sie aus freien Stücken auf den Schutz und die Hilfe der staatlichen Organe verzichtet hätten. Unter diesen Umständen könne den serbischen Behörden nicht mangelnder Schutzwille und mangelnde Schutzfähigkeit angelastet werden. Folglich sei im vorliegenden Fall vom Vorhandensein eines adäquaten Schutzes durch den Heimatstaat auszugehen, weshalb die geltend gemachten Übergriffe nicht asylrelevant seien. Darüber hinaus hätten sich aus dem Sachvortrag der Beschwerdeführer verschiedene Ungereimtheiten ergeben, gestützt auf welche auf die Unglaubhaftigkeit ihrer Vorbringen zu schliessen sei. So habe der Beschwerdeführer anlässlich der Anhörung bezüglich des Vorfalls vom Februar 2009 zunächst ausgesagt, seine Eltern seien beide gleichzeitig aus dem Haus gekommen, als das Auto mit den Serben angehalten habe. Mit den davon abweichenden Aussagen seines Vaters konfrontiert, meinte er indessen später in der Anhörung, die Mutter sei noch beim Eingang gestanden, während sich der Vater bereits auf der Strasse befunden habe. Der Beschwerdeführer gab zudem an, der Vater habe in diesem Zusammenhang nicht mit den Serben gesprochen, während sein Vater sich - gestützt auf dessen eigene Aussagen - mit ihnen unterhalten haben will. Ferner habe der Beschwerdeführer vorgebracht, die linke Gesichtshälfte seines Vaters sei nach den Vorfall angeschwollen gewesen, während der Vater gemäss eigener Version auf dem rechten Wangenknochen geschlagen worden sein will. Bezüglich der geltend gemachten Drohanrufe legte der Beschwerdeführer dar, den ersten Drohanruf habe er zehn Tage nach der Schlägerei im Café erhalten und in der Folge sei er bis eine Woche vor der Ausreise im Juni 2009 von Drohanrufen belästigt worden. Sein Vater hingegen habe zu Protokoll gegeben, der erste Drohanruf sei am Tag nach der Schlägerei eingegangen und den letzten habe sein Sohn drei bis vier Tage nach der Schlägerei bekommen.</w:t>
      </w:r>
    </w:p>
    <w:p>
      <w:r>
        <w:rPr>
          <w:b/>
        </w:rPr>
        <w:t>E. 5.2</w:t>
      </w:r>
    </w:p>
    <w:p>
      <w:r>
        <w:t>Demgegenüber liessen die Beschwerdeführer auf Beschwerde-ebene zusammengefasst vorbringen, die Flüchtlingseigenschaft sei aufgrund des dargelegten aktenkundigen Sachverhalts und der Notorietäten überwiegend wahrscheinlich. Es lägen asylrelevante Gründe vor, welche ein Abweichen von der "safe country"- Einstufung vertieft prüfenswert machen würden, weshalb Asyl gewährt werden müsse. Die Beschwerdeführer müssten aufgrund der aktenkundig vorgebrachten und fortgesetzten, unerträglichen schikanösen Behandlung, welcher sie persönlich ausgesetzt gewesen seien, als Flüchtlinge anerkannt werden.</w:t>
      </w:r>
    </w:p>
    <w:p>
      <w:r>
        <w:rPr>
          <w:b/>
        </w:rPr>
        <w:t>E. 5.3</w:t>
      </w:r>
    </w:p>
    <w:p>
      <w:r>
        <w:t>Nach Lehre und Praxis ist für die Anerkennung der Flüchtlingseigenschaft erforderlich, dass die asylsuchende Person ernsthafte Nachteile von bestimmter Intensität erlitten hat, beziehungsweise solche im Falle einer Rückkehr in den Heimatstaat mit beachtlicher Wahrscheinlichkeit und in absehbarer Zukunft befürchten muss. Die Nachteile müssen der asylsuchenden Person gezielt und aufgrund bestimmter Verfolgungsmotive drohen oder zugefügt worden sein (Entscheidungen und Mitteilungen der Schweizerischen Asylrekurskommission [EMARK] 2005 Nr. 21 E. 7 S. 193). Nach neuerer Rechtsprechung (Wechsel von der Zurechenbarkeits- zur Schutztheorie) kann eine Verfolgungshandlung im Sinne von Art. 3 AsylG von staatlichen oder nichtstaatlichen Akteuren ausgehen. Danach ist nichtstaatliche Verfolgung als Verfolgung im Sinne des Asylgesetzes zu erachten, wenn der Staat unfähig oder nicht willens ist, Schutz vor besagter Verfolgung zu bieten. Es ist dabei nicht eine faktische Garantie für langfristigen individuellen Schutz der von nichtstaatlicher Verfolgung bedrohten Person zu verlangen, weil es keinem Staat gelingen kann, die absolute Sicherheit seiner Bürgerinnen und Bürger jederzeit und überall zu garantieren. Erforderlich ist aber, dass eine funktionierende und effiziente Schutzinfrastruktur zur Verfügung steht, wobei in erster Linie an polizeiliche Aufgaben wahrnehmende Organe sowie an ein Rechts- und Justizsystem zu denken ist, das eine effektive Strafverfolgung ermöglicht. Die Inanspruchnahme dieses Schutzsystems muss der betroffenen Person zudem objektiv zugänglich und individuell zumutbar sein, was jeweils im Rahmen einer Einzelfallprüfung unter Berücksichtigung des länderspezifischen Kontexts zu beurteilen ist (vgl. EMARK 2006 Nr. 18 E. 10.2 S. 202f.; EMARK 2006 Nr. 32 E. 6.1 S. 340 f.) Die Anerkennung der Flüchtlingseigenschaft setzt ferner voraus, dass die betroffene Person einer landesweiten Verfolgung ausgesetzt ist und nicht in einem anderen Teil ihres Heimatstaates um effektiven Schutz nachsuchen kann (EMARK 2006 Nr. 18).</w:t>
      </w:r>
    </w:p>
    <w:p>
      <w:r>
        <w:rPr>
          <w:b/>
        </w:rPr>
        <w:t>E. 5.4</w:t>
      </w:r>
    </w:p>
    <w:p>
      <w:r>
        <w:t>Das Bundesverwaltungsgericht schliesst sich der Auffassung der Vorinstanz an, wonach die Vorbringen der Beschwerdeführer den Anforderungen an die Flüchtlingseigenschaft gemäss Art. 3 AsylG mit Blick auf die derzeitige Situation der Roma in Serbien (vgl. dazu Urteil des Bundesverwaltungsgerichts D-7710/2006 vom 20. Februar 2009 E. 7.2 f.) nicht standzuhalten vermögen. Zwar können vereinzelte Übergriffe von Seiten Dritter auf Angehörige der Roma in Serbien nicht restlos ausgeschlossen werden, doch geht das Bundesverwaltungsgericht mit dem Bundesamt davon aus, der Staat billige oder unterstütze solche Behelligungen in keiner Weise und erweise sich als schutzwillig und schutzfähig. Die Beschwerdeführer werfen den Behörden denn auch nicht vor, völlig untätig geblieben zu sein. Vielmehr machen sie geltend, sie hätten auf eine Anzeige bei der Polizei verzichtet, weil die Täter ihnen mit weiteren Massnahmen gedroht hätten. Wie das BFM in der angefochtenen Verfügung indessen zutreffend festhielt, haben sie unter diesen Umständen auf den Schutz und die Hilfe der heimatlichen Behörden verzichtet, obwohl es ihnen zumutbar gewesen wäre, um behördlichen Schutz nachzusuchen. Somit haben sie den Behörden ihres Heimatlandes nicht einmal die Möglichkeit gegeben, ihnen den geforderten Schutz zu gewähren, weshalb vorliegend keine fehlende Schutzgewährung durch die Behörden ihres Heimatlandes vorliegt.</w:t>
      </w:r>
    </w:p>
    <w:p>
      <w:r>
        <w:rPr>
          <w:b/>
        </w:rPr>
        <w:t>E. 5.5</w:t>
      </w:r>
    </w:p>
    <w:p>
      <w:r>
        <w:t>Darüber hinaus ist ergänzend festzustellen, dass den Beschwerdeführern auch eine innerstaatliche Fluchtalternative offen gestanden hätte, da sie ausschliesslich lokale Behelligungen und Übergriffe durch Drittpersonen in ihrer Umgebung geltend machen. Wie die Beschwerdeführerin selber aussagt, soll die Situation dort, wo sie aufgewachsen sei, weniger gravierend gewesen sein. Mit einem Umzug in eine andere Gegend hätten die Beschwerdeführer weiteren drohenden Übergriffen der erwähnten Personen ausweichen können.</w:t>
      </w:r>
    </w:p>
    <w:p>
      <w:r>
        <w:rPr>
          <w:b/>
        </w:rPr>
        <w:t>E. 5.6</w:t>
      </w:r>
    </w:p>
    <w:p>
      <w:r>
        <w:t>Zusammenfassend ergibt sich, dass die Vorbringen der Beschwerdeführer als nicht asylrechtlich relevant zu betrachten sind. Unter diesen Umständen kann die Prüfung der Glaubhaftigkeit ihrer Aussagen grundsätzlich offen bleiben, auch wenn sich aus ihren Vorbringen auf den ersten Blick verschiedene Ungereimtheiten und Widersprüche entnehmen lassen, gestützt auf welche auch an der Glaubhaftigkeit ihrer Vorbringen zu zweifeln wäre. Die Beschwerdeführer konnten keine Gründe nach Art. 3 AsylG nachweisen oder glaubhaft machen. Die Vorinstanz hat ihre Asylgesuche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 verfügen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den Beschwerdeführern nicht gelungen ist, eine asylrechtlich erhebliche Gefährdung nachzuweisen oder glaubhaft zu machen, kann das in Art. 5 AsylG verankerte Prinzip des flüchtlingsrechtlichen Non-Refoulements im vorliegenden Verfahren keine Anwendung finden. Eine Rückkehr der Beschwerdeführer nach Serbien ist demnach unter dem Aspekt von Art. 5 AsylG rechtmässig. Sodann ergeben sich weder aus den Aussagen der Beschwerdeführer noch aus den Akten Anhaltspunkte dafür, dass sie für den Fall einer Ausschaffung nach Serbien dort mit beachtlicher Wahrscheinlichkeit einer nach Art. 3 EMRK oder Art. 1 FoK verbotenen Strafe oder Behandlung ausgesetzt wären. Gemäss Praxis des Europäischen Gerichtshofes für Menschenrechte (EGMR) sowie jener des UN-Anti-Folterausschusses müssten die Beschwerdeführer eine konkrete Gefahr ("real risk") nachweisen oder glaubhaft machen, dass ihnen im Fall einer Rückschiebung Folter oder unmenschliche Behandlung drohen würde (vgl. EMARK 2001 Nr. 16 S. 122, mit weiteren Hinweisen; EGMR, [Grosse Kammer], Saadi gegen Italien, Urteil vom 28. Februar 2008, Beschwerde Nr. 37201/06, §§ 124-127, mit weiteren Hinweisen). Dies ist ihnen indessen nicht gelungen. Auch die allgemeine Menschenrechtssituation in Serbien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7.4.1</w:t>
      </w:r>
    </w:p>
    <w:p>
      <w:r>
        <w:t>Angesichts der heutigen Lage in Serbien muss gemäss konstanter Praxis nicht von einer Situation allgemeiner Gewalt oder kriegerischen respektive bürgerkriegsähnlichen Verhältnissen gesprochen werden. Zwar können Übergriffe von Privatpersonen auf Angehörige der Roma und teilweise behördliche Schikanen sowie Diskriminierungen nicht völlig ausgeschlossen werden. Indessen erreichen diese im Allgemeinen nicht ein Ausmass, das den Vollzug der Wegweisung in jedem Fall als unzumutbar erscheinen liesse. Zudem ist die Vojvodina, wo die Beschwerdeführer herkommen, als eine von vielen Volksgruppen bewohnte Region bekannt, in welcher das Zusammenleben im Allgemeinen als friedlich bezeichnet werden kann. Somit ist die Rückkehr der Beschwerdeführer dorthin grundsätzlich zumutbar. Eine Situation, welche die Beschwerdeführer als de-facto-Flüchtling qualifizieren würde, lässt sich deshalb aufgrund der heutigen Situation in Serbien nicht bejahen.</w:t>
      </w:r>
    </w:p>
    <w:p>
      <w:r>
        <w:rPr>
          <w:b/>
        </w:rPr>
        <w:t>E. 7.4.2</w:t>
      </w:r>
    </w:p>
    <w:p>
      <w:r>
        <w:t>Vorliegend sind in Anbetracht der persönlichen Situation der - gemäss Aktenlage - jungen und gesunden Beschwerdeführer keine Gründe ersichtlich, die auf eine konkrete Gefährdung beziehungsweise auf ein beachtliches Rückkehrrisiko hindeuten. Die Beschwerdeführer verbrachten den überwiegenden Teil ihres Lebens in Serbien und sind somit mit diesem Land verwurzelt. Auch wenn nicht in Abrede zu stellen ist, dass sie bei einer Rückkehr in ihren Heimatstaat mit gewissen Schwierigkeiten konfrontiert werden können, ist festzustellen, dass sie in ihrem Heimatland über ein Beziehungsnetz verfügen. Gemäss den Aussagen der Beschwerdeführerin leben ihre Eltern, Geschwister, ihr Grossvater und weitere Verwandte nach wie vor in D._______. Der Beschwerdeführer sagte aus, seine Grossmutter und eine Tante würden in F._______ leben, während seine Eltern und sein Bruder mit ihm in die Schweiz gereist seien. Nachdem die Beschwerde seiner Eltern und seines Bruders mit Urteil vom 21. August 2009 abgewiesen und damit die angefochtene Verfügung des BFM bestätigt wurde, waren auch seine nächsten Verwandten verpflichtet, die Schweiz zu verlassen und in ihr Heimatland zurückzukehren. Unter diesen Umständen ist nicht davon auszugehen, dass die Beschwerdeführer im Fall ihrer Rückkehr nach Serbien in eine existenzbedrohende Situation geraten werden. Zudem stellen blosse soziale und wirtschaftliche Schwierigkeiten, wie namentlich Mangel an Wohnungen und Arbeitsplätzen, von welchen die ansässige Bevölkerung betroffen ist, keine existenzbedrohende Situation dar, welche den Vollzug der Wegweisung eines Ausländers oder einer Ausländerin in den Heimatstaat als unzumutbar erscheinen liessen (EMARK 2005 Nr. 24 E. 10.1 S. 215), weshalb auch allfällige wirtschaftliche Reintegrationsschwierigkeiten der Beschwerdeführer dem Vollzug nicht entgegenstehen. Nach dem Gesagten ist der Vollzug der Wegweisung als zumutbar zu bezeichnen.</w:t>
      </w:r>
    </w:p>
    <w:p>
      <w:r>
        <w:rPr>
          <w:b/>
        </w:rPr>
        <w:t>E. 7.5</w:t>
      </w:r>
    </w:p>
    <w:p>
      <w:r>
        <w:t>Schliesslich obliegt es den Beschwerdeführern,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den Beschwerdeführern aufzuerlegen (Art. 63 Abs. 1 und 5 VwVG), auf insgesamt Fr. 600.-- festzusetzen (Art. 1-3 des Reglements vom 21. Februar 2008 über die Kosten und Entschädigungen vor dem Bundesverwaltungsgericht [VGKE, SR 173.320.2]) und mit dem am 29. September 2009 geleisteten Kostenvorschuss in derselben Höhe zu verrechnen. Im Hinblick auf die Bezahlung des verlangten Kostenvorschusses ist auf das mit Eingabe vom 1. Oktober 2009 gestellte Begehren um Fristerstreckung nicht einzutreten.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