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D-5713/2007 vom 26. Mai 2010</w:t>
      </w:r>
    </w:p>
    <w:p>
      <w:r>
        <w:t>Bundesverwaltungsgericht, 2010-05-26, DE</w:t>
      </w:r>
    </w:p>
    <w:p>
      <w:r>
        <w:rPr>
          <w:b/>
        </w:rPr>
        <w:t xml:space="preserve">Quelle: </w:t>
      </w:r>
      <w:r>
        <w:t>https://mcp.opencaselaw.ch/entscheid/bvger_D-5713_2007</w:t>
      </w:r>
    </w:p>
    <w:p>
      <w:r>
        <w:t>FR: TAF D-5713/2007 du 26 mai 2010</w:t>
      </w:r>
    </w:p>
    <w:p>
      <w:r>
        <w:t>IT: TAF D-5713/2007 del 26 maggio 2010</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des Asylgesetzes vom 26. Juni 1998 [AsylG, SR 142.31] i.V.m. Art. 31 - 33 des Verwaltungsgerichtsgesetzes vom 17. Juni 2005 [VGG, SR 173.32];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Der Beschwerdeführer ist legitimiert; auf die frist- und formgerecht eingereichte Beschwerde ist einzutreten (Art. 6 AsylG i.V.m. Art. 48 Abs. 1, Art. 50 Abs. 1 und Art. 52 des Verwaltungsverfahrensgesetzes vom 20. Dezember 1968 [VwVG, SR 172.021]).</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Die Flüchtlingseigenschaft ist nachzuweisen oder zumindest glaubhaft zu machen. Diese ist glaubhaft gemacht, wenn die Behörde ihr Vorhandensein mit überwiegender Wahrscheinlichkeit für gegeben hält (Art. 7 AsylG).</w:t>
      </w:r>
    </w:p>
    <w:p>
      <w:r>
        <w:rPr>
          <w:b/>
        </w:rPr>
        <w:t>E. 4.1</w:t>
      </w:r>
    </w:p>
    <w:p>
      <w:r>
        <w:t>Subjektive Nachfluchtgründe sind gemäss Praxis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w:t>
      </w:r>
    </w:p>
    <w:p>
      <w:r>
        <w:rPr>
          <w:b/>
        </w:rPr>
        <w:t>E. 4.2</w:t>
      </w:r>
    </w:p>
    <w:p>
      <w:r>
        <w:t>Der Beschwerdeführer begründet sein zweites Asylgesuch mit exilpolitischen Aktivitäten. Die blosse Behauptung anlässlich der Anhörung vom 3. Juli 2007, das Schicksal seiner Angehörigen sei nach der geltend gemachten Festnahme ungewiss, erscheint vorliegend jedenfalls nicht als konkreter Anhaltspunkt für eine allfällig asylrelevante Verfolgungssituation respektive objektive Nachfluchtgründe, zumal in der Beschwerde darauf nicht eingegangen wird.</w:t>
      </w:r>
    </w:p>
    <w:p>
      <w:r>
        <w:rPr>
          <w:b/>
        </w:rPr>
        <w:t>E. 4.3</w:t>
      </w:r>
    </w:p>
    <w:p>
      <w:r>
        <w:t>Sodann ist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äusserten (vgl. die Auskunft der SFH-Länderanalyse vom 4. April 2006 ["Iran: Rückkehrgefährdung für AktivistInnen und Mitglieder exilpolitischer Organisationen - Informationsgewinnung iranischer Behörden"] S. 3, mit weiteren Hinweisen). Es ist überdies allgemein bekannt und unbestritten, dass die iranischen Behörden die politischen Aktivitäten ihrer Staatsangehörigen im Ausland überwachen und systematisch erfassen. Mittels Einsatz moderner Software dürfte es den iranischen Behörden auch ohne Weiteres möglich sein, die im Internet vorhandenen riesigen Datenmengen ohne allzu grossen Aufwand gezielt und umfassend zu überwachen und gegebenenfalls nach Stichworten zu durchsuchen. In genereller Hinsicht ist ferner festzuhalten, dass nach konstanter Praxis bei iranischen Asylsuchenden das blosse Einreichen eines Asylgesuches keinen subjektiven Nachfluchtgrund im Sinne von Art. 54 AsylG darstellt (vgl. BVGE 2009/28 E. 7.4.4). Demgegenüber bleibt im Einzelfall zu prüfen, ob die in der Schweiz entwickelten exilpolitischen Aktivitäten bei einer allfälligen Ausschaffung in den Iran mit überwiegender Wahrscheinlichkeit ernsthafte Nachteile im asylrechtlichen Sinne nach sich ziehen würden (vgl. wiederum BVGE 2009/28 E.7.4.3). Es ist dabei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Unzufriedener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SFH-Bericht, a.a.O. S. 7).</w:t>
      </w:r>
    </w:p>
    <w:p>
      <w:r>
        <w:rPr>
          <w:b/>
        </w:rPr>
        <w:t>E. 4.4</w:t>
      </w:r>
    </w:p>
    <w:p>
      <w:r>
        <w:t>Einleitend ist festzuhalten, dass im ersten Asylverfahren eine flüchtlingsrechtlich relevante Gefährdung des Beschwerdeführers im Heimatland verneint wurde. Hingegen trifft im Sinne der Beschwerdevorbringen zu, dass die Frage, ob er vor Ort an Manifestationen teilgenommen habe, offengelassen wurde. Allein dadurch ist aber auch im aktuellen Zeitpunkt eine entsprechende Gefährdung nicht dargetan. Dem vom Beschwerdeführer eingereichten Bestätigungsschreiben der DVF _______ ist zwar zu entnehmen, dass er Mitglied dieser Vereinigung ist. Sein Rechtsvertreter hält dazu in der Beschwerde- und den Folgeeingaben fest, sein Mandant habe immer wieder an regimefeindlichen Aktionen teilgenommen. Dies ist aufgrund der eingereichten Beweismittel nicht zu bestreiten. Fraglich ist aber, inwiefern er sich dabei allenfalls exponiert hat. Den Akten sind nur beschränkt diesbezügliche Anhaltspunkte zu entnehmen. Allein durch die dokumentierte Teilnahme an zahlreichen Aktionen namentlich der DVF verbunden mit entsprechenden Bildaufnahmen und deren Veröffentlichung im Internet und im Publikationsorgan der DVF ist jedenfalls noch nicht davon auszugehen, dass er das gesteigerte Interesse der iranischen Überwachungsbehörden auf sich gezogen haben könnte. Andererseits ist er laut dem DVF-Schreiben vom _______ zusammen mit anderen Personen bei der DVF für _______ zuständig. Diese Funktion übt er aber gemäss dem Schreiben unter einer verantwortlichen Leitung aus. Dass er in seiner Funktion markant in Erscheinung getreten wäre _______, kann den Akten jedenfalls nicht entnommen werden _______. Im Weiteren lässt auch die von ihm geltend gemachte Aufgabe, _______ Neumitglieder zu werben, nicht auf ein herausragendes Engagement schliessen. Ferner hat der Beschwerdeführer offenbar vier Artikel (_______) publiziert. Diese Artikel sind zwar teilweise angriffig formuliert, gehen aber insgesamt nicht über das hinaus, was oftmals von Mitgliedern der Exilgemeinde ins Netz gestellt wird oder in Printmedien erscheint. Anzumerken ist, dass er letztmals am _______ und mithin vor mehr als drei Jahren geltend machte, einen solchen Artikel verfasst zu haben. Gleichzeitig fällt auf, dass er mit Eingabe vom 16. Oktober 2009 die erneute Teilnahme an Veranstaltungen der Jahre 2007 und 2008, nicht aber für das Jahr 2009 vorbrachte und belegte. Sein exilpolitisches Engagement unterliegt also möglicherweise gewissen Schwankungen. Im Weiteren ist gemäss der eingangs gemachten Feststellung sowie der unter Bst. A vorstehend skizzierten Prozessgeschichte nicht davon auszugehen, dass er bereits vor der Ausreise die Aufmerksamkeit der iranischen Behörden in relevantem Ausmass auf sich gezogen hat. Entsprechend rechtfertigt sich der Schluss, dass er vor der Absetzung in den Westen durch die iranischen Behörden jedenfalls nicht als staatsgefährdender Politaktivist fichiert war. Seine exilpolitischen Aktivitäten können denn auch insofern mit derjenigen einer Vielzahl seiner Landsleute in Übereinstimmung gebracht werden, als sich diese nach dem Gesagten kaum und insbesondere nicht relevant von denen anderer Iraner abheben. Es ist entgegen den Beschwerdevorbringen daher nicht davon auszugehen, dass die iranischen Behörden beim Beschwerdeführer von einer Bedrohung für das Regime ausgehen. Die Funktionen des Beschwerdeführers - sollten die iranischen Behörden überhaupt davon Kenntnis erlangen respektive erlangt haben - sind aufgrund der gesamten Umstände jedenfalls nicht geeignet, ihn als eine Person mit klar definierten oppositionspolitischen Vorstellungen und persönlichem Agitationspotenzial, welche zu einer Gefahr für das Regime im Iran werden könnte, erscheinen zu lassen. Die durch den Beschwerdeführer öffentlich vorgetragene Kritik am Regime weist demnach insgesamt nicht den nötigen Exponierungsgrad auf, um bei den iranischen Behörden den Eindruck zu erwecken, dass sie zu einer Gefahr für den Bestand ihres Regimes werde. Zudem weist nichts darauf hin, dass in seinem Heimatstaat ein Strafverfahren oder andere behördliche Massnahmen eingeleitet worden wären. Einzuräumen ist, dass solche wohl nur schwer zu belegen wären. Entsprechende Massnahmen scheinen indes auch im Falle der Rückkehr nicht überwiegend wahrscheinlich. Schliesslich vermag der Beschwerdeführer aus der Tatsache, dass in anderen Fällen iranischer Asylsuchender aufgrund ausgeübter Exilaktivitäten die Flüchtlingseigenschaft festgestellt wurde, nichts zu seinen Gunsten abzuleiten, da im Rahmen der Einzelfallprüfung in pflichtgemässer Ausübung des Ermessens den jeweiligen Sachverhaltselementen genau Rechnung zu tragen ist.</w:t>
      </w:r>
    </w:p>
    <w:p>
      <w:r>
        <w:rPr>
          <w:b/>
        </w:rPr>
        <w:t>E. 4.5</w:t>
      </w:r>
    </w:p>
    <w:p>
      <w:r>
        <w:t>Zusammenfassend ist festzustellen, dass die geltend gemachten subjektiven Nachfluchtgründe nicht geeignet sind, eine flüchtlingsrechtlich relevante Verfolgungsfurcht zu begründen, weshalb der Beschwerdeführer nicht als Flüchtling anerkannt werden kann. An dieser Einschätzung vermögen weder die weiteren Ausführungen in den Eingaben noch die beigelegten Beweismittel und die Hinweise auf Publikationen etwas zu ändern, weshalb darauf verzichtet werden kann, darauf weiter einzugehen.</w:t>
      </w:r>
    </w:p>
    <w:p>
      <w:r>
        <w:rPr>
          <w:b/>
        </w:rPr>
        <w:t>E. 4.6</w:t>
      </w:r>
    </w:p>
    <w:p>
      <w:r>
        <w:t>Unter Berücksichtigung der gesamten Umstände folgt, dass der Beschwerdeführer keine Gründe nach Art. 3 AsylG nachweisen oder glaubhaft machen konnte. Die Vorinstanz hat die Flüchtlingseigenschaft demnach zu Recht verneint und zutreffend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6.1.2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6.1.3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Bensaid gegen Grossbritannien, Urteil vom 6. Februar 2001, Recueil des arrêts et décisions 2001-I, S. 327 ff., und Saadi gegen Italien, Urteil vom 28. Februar 2008 [Application no. 37201/06]). Dies ist ihm unter Hinweis auf die Erwägungen zum Flüchtlingspunkt nicht gelungen. Auch die allgemeine Menschenrechtssituation im Iran lässt den Wegweisungsvollzug zum heutigen Zeitpunkt nicht als unzulässig erscheinen.</w:t>
      </w:r>
    </w:p>
    <w:p>
      <w:r>
        <w:rPr>
          <w:b/>
        </w:rPr>
        <w:t>E. 6.1.4</w:t>
      </w:r>
    </w:p>
    <w:p>
      <w:r>
        <w:t>Nach dem Gesagten ist der Vollzug der Wegweisung sowohl im Sinne der asyl- als auch der völkerrechtlichen Bestimmungen zulässig.</w:t>
      </w:r>
    </w:p>
    <w:p>
      <w:r>
        <w:rPr>
          <w:b/>
        </w:rPr>
        <w:t>E. 6.2.1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6.2.2</w:t>
      </w:r>
    </w:p>
    <w:p>
      <w:r>
        <w:t>Vorliegend ist der Vollzug als zumutbar zu erachten, weil keine Hinweise dafür bestehen, dass der Beschwerdeführer bei einer Rückkehr in den Iran einer konkreten Gefährdung ausgesetzt wäre. Das Bundesverwaltungsgericht erachtet den Wegweisungsvollzug in den Iran gestützt auf die allgemeine Lage als nach wie vor generell zumutbar. Es sind sodann keine individuellen Vollzugshindernisse erkennbar. In diesem Zusammenhang kann grundsätzlich auf die Erwägungen unter Ziffer 7c im ARK-Urteil vom 26. Februar 2004 sowie Ziffer 4.2 vorstehend verwiesen werden. Auch wenn die Etablierung vor Ort aufgrund der langen Landesabwesenheit naturgemäss mit gewissen oder sogar erheblichen Schwierigkeiten verbunden sein kann, entsteht vorliegend nicht der Eindruck, der Beschwerdeführer könnte in eine existenzgefährdende Situation geraten. Nach dem Gesagten erweist sich der Vollzug der Wegweisung als zumutbar.</w:t>
      </w:r>
    </w:p>
    <w:p>
      <w:r>
        <w:rPr>
          <w:b/>
        </w:rPr>
        <w:t>E. 6.3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6.4</w:t>
      </w:r>
    </w:p>
    <w:p>
      <w:r>
        <w:t>Zusammenfassend ergibt sich, dass das BFM den Vollzug der Wegweisung zu Recht als zulässig, zumutbar und möglich erachtet hat. Die Anordnung der vorläufigen Aufnahme fällt somit ausser Betracht (Art. 83 Abs. 1-4 AuG).</w:t>
      </w:r>
    </w:p>
    <w:p>
      <w:r>
        <w:rPr>
          <w:b/>
        </w:rPr>
        <w:t>E. 6.5</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Es bleibt zu prüfen, ob die angefochtene Verfügung insofern aufzuheben ist, als darin eine Verfahrensgebühr von Fr. 1'200.- erhoben wurde. Nicht durchzudringen vermag der Beschwerdeführer, indem er vorbringt, er sei bedürftig und das Verfahren sei nicht aussichtslos gewesen, weshalb bereits deshalb vom BFM keine Verfahrensgebühr aufzuerlegen gewesen wäre. Der Beschwerdeführer stellte erst im Verfahren vor der Rekursinstanz ein Gesuch gemäss Art. 65 Abs. 1 VwVG und brachte eine Bestätigung für seine Bedürftigkeit bei. Demzufolge war das BFM nicht gehalten, auf Verfahrensgebühren zu verzichten (vgl. Art. 17b Abs. 1 und 4 AsylG; Art. 7c Abs. 1 der Asylverordnung 1 vom 11. August 1999 über Verfahrensfragen [AsylV 1, SR 142.311]). Nachdem sein Gesuch nun auch in zweiter Instanz abgewiesen wurde, ist die Vorgehensweise des BFM sowohl ex nunc wie auch ex tunc nicht zu beanstanden.</w:t>
      </w:r>
    </w:p>
    <w:p>
      <w:r>
        <w:rPr>
          <w:b/>
        </w:rPr>
        <w:t>E. 8</w:t>
      </w:r>
    </w:p>
    <w:p>
      <w:r>
        <w:t>Bei diesem Ausgang des Verfahrens wären dessen Kosten dem Beschwerdeführer aufzuerlegen (Art. 63 Abs. 1 des Verwaltungsverfahrensgesetzes vom 20. Dezember 1968 [VwVG, SR 172.021]). Da sein Gesuch im Sinne von Art. 65 Abs. 1 VwVG mit Zwischenverfügung vom 31. August 2007 gutgeheissen wurde, ist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