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D-5712/2020 vom 23. November 2020</w:t>
      </w:r>
    </w:p>
    <w:p>
      <w:r>
        <w:t>Bundesverwaltungsgericht, 2020-11-23, DE</w:t>
      </w:r>
    </w:p>
    <w:p>
      <w:r>
        <w:rPr>
          <w:b/>
        </w:rPr>
        <w:t xml:space="preserve">Quelle: </w:t>
      </w:r>
      <w:r>
        <w:t>https://mcp.opencaselaw.ch/entscheid/bvger_D-5712_2020</w:t>
      </w:r>
    </w:p>
    <w:p>
      <w:r>
        <w:t>FR: TAF D-5712/2020 du 23 novembre 2020</w:t>
      </w:r>
    </w:p>
    <w:p>
      <w:r>
        <w:t>IT: TAF D-5712/2020 del 23 novembre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 Auf die Beschwerde ist - unter Vorbehalt der nachfolgenden Erwägung - einzutreten.</w:t>
      </w:r>
    </w:p>
    <w:p>
      <w:r>
        <w:rPr>
          <w:b/>
        </w:rPr>
        <w:t>E. 1.3</w:t>
      </w:r>
    </w:p>
    <w:p>
      <w:r>
        <w:t>In Bezug auf den Antrag, der Beschwerde sei die aufschiebende Wirkung zu erteilen, ist festzustellen, dass der Beschwerde von Gesetzes wegen aufschiebende Wirkung zukommt (Art. 42 AsylG). Da diese von der Vorinstanz auch nicht entzogen wurde, ist auf den besagten Antrag mangels Beschwer nicht einzutreten.</w:t>
      </w:r>
    </w:p>
    <w:p>
      <w:r>
        <w:rPr>
          <w:b/>
        </w:rPr>
        <w:t>E. 1.4</w:t>
      </w:r>
    </w:p>
    <w:p>
      <w:r>
        <w:t>Die Beschwerdefrist ist noch nicht abgelaufen. Über Rechtsmittel kann jedoch vor Ablauf der Beschwerdefrist befunden werden, wenn die Rechtsmitteleingabe eindeutig als abschliessend zu verstehen und der Sachverhalt vollständig ist (vgl. Entscheidungen und Mitteilungen der [vormaligen] Schweizerischen Asylrekurskommission [EMARK] 1997 Nr. 13 E. 1, 1996 Nr. 19 E. 3a und b). Diese Voraussetzungen sind zu bejahen.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Das Flüchtlingsrecht ist subsidiär ausgestaltet. Demnach setzt die Anerkennung der Flüchtlingseigenschaft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Fluchtvorbringen des Beschwerdeführers, wonach es zwischen ihm und der Familie seiner Ex-Frau zu Problemen gekommen sei und er sich wegen bisher nicht getilgter Schulden beim algerischen Staat vor einer Verhaftung und Verurteilung zu einer Haftstrafe fürchte, als den Anforderungen an die Flüchtlingseigenschaft gemäss Art. 3 AsylG nicht genügend. Dieser Einschätzung ist beizupflichten. Zur Vermeidung von Wiederholungen kann auf die zutreffenden Ausführungen in der angefochtenen Verfügung verwiesen werden. Der Rechtsmitteleingabe sind keine stichhaltigen Entgegnungen zu entnehmen.</w:t>
      </w:r>
    </w:p>
    <w:p>
      <w:r>
        <w:rPr>
          <w:b/>
        </w:rPr>
        <w:t>E. 5.2</w:t>
      </w:r>
    </w:p>
    <w:p>
      <w:r>
        <w:t>Den vom Beschwerdeführer geschilderten Problemen mit der Familie seiner Ex-Frau - verbale und handgreifliche Streitigkeiten unter Privatpersonen - ist in Ermangelung eines flüchtlingsrechtlich relevanten Verfolgungsmotivs im Sinne von Art. 3 AsylG die Asylrelevanz abzusprechen. Zudem hat das SEM zutreffend auf die grundsätzlich bestehende Fähigkeit und den Willen der algerischen Behörden, den Einwohnern Schutz vor Verfolgung und Bedrohung durch Drittpersonen zu gewähren, hingewiesen. Die Ausführungen des Beschwerdeführers zeigen, dass er in diesem Zusammenhang Zugang zu den staatlichen Schutzstrukturen hatte. Die von ihm geäusserte Furcht vor allfälligen künftigen Behelligungen seitens der Familie der Ex-Frau ist daher asylrechtlich nicht relevant.</w:t>
      </w:r>
    </w:p>
    <w:p>
      <w:r>
        <w:rPr>
          <w:b/>
        </w:rPr>
        <w:t>E. 5.3</w:t>
      </w:r>
    </w:p>
    <w:p>
      <w:r>
        <w:t>Eine begründete Furcht, dass er bei einer Rückkehr nach Algerien wegen einer noch nicht erfolgten Rückzahlung eines staatlichen Darlehens flüchtlingsrelevanten Verfolgungsmassnahmen im Sinne von Art. 3 AsylG seitens der algerischen Behörden ausgesetzt wäre, vermochte der Beschwerdeführer nicht darzulegen. Bei der Äusserung, ihm könnte eine Verhaftung und Verurteilung zu einer Gefängnisstrafe drohen, handelt es sich um eine nicht belegte Vermutung. Konkrete Anhaltspunkte für tatsächlich bestehende strafrechtliche Verfolgungsmassnahmen lassen sich den Akten nicht entnehmen, zumal der Beschwerdeführer zu Protokoll gab, nach dem Erhalt gerichtlicher Vorladungen im Jahr (...) noch zwei Jahre an der registrierten Adresse in B._______ gelebt und das Land im (...) 2019 legal mit dem eigenen Reisepass auf dem Luftweg verlassen zu haben, ohne dass es zu einer Festnahme gekommen wäre. Auf einer Verletzung eines Darlehensvertrags beruhenden Massnahmen würde es aber ohnehin an einem flüchtlingsrechtlich relevanten Verfolgungsmotiv im Sinne von Art. 3 AsylG fehlen, weshalb es dem entsprechenden Vorbringen des Beschwerdeführers an der asylrechtlichen Relevanz fehlt. Allfällige Sanktionsmassnahmen wegen offener Darlehensschulden beim algerischen Staat würden auf gemeinrechtlichen Bestimmungen basieren. Dass und weshalb der Beschwerdeführer in diesem Zusammenhang aufgrund asylrechtlich relevanter Motive mit einem sogenannten Politmalus rechnen müsste, wird aus den Akten nicht ersichtlich. Aus der Äusserung, die Polizei habe bei ihm zuhause nach ihm gesucht, lässt sich nicht schliessen, dass der Beschwerdeführer von den heimatlichen Behörden aus einem von Art. 3 AsylG umfassten Grund gesucht und verfolgt würde. Auch nach schweizerischem Recht besteht grundsätzlich die Möglichkeit, Personen, welche gerichtlichen Vorladungen keine Folge leisten, polizeilich vorführen zu lassen.</w:t>
      </w:r>
    </w:p>
    <w:p>
      <w:r>
        <w:rPr>
          <w:b/>
        </w:rPr>
        <w:t>E. 5.4</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Es bestehen keine hinreichenden Anhaltspunkte für eine ernsthafte und konkrete Gefährdung des Beschwerdeführers im Sinne von Art. 3 EMRK. Auch die allgemeine Menschenrechtssituation in Algerien lässt den Wegweisungsvollzug zum heutigen Zeitpunkt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Lage in Algerien ist weder von Bürgerkrieg noch von allgemeiner Gewalt gekennzeichnet, so dass der Vollzug der Wegweisung dorthin grundsätzlich zumutbar ist (vgl. statt vieler Urteil des BVGer D-5045/2020 vom 23. Oktober 2020 E. 8.3.1).</w:t>
      </w:r>
    </w:p>
    <w:p>
      <w:r>
        <w:rPr>
          <w:b/>
        </w:rPr>
        <w:t>E. 7.3.2</w:t>
      </w:r>
    </w:p>
    <w:p>
      <w:r>
        <w:t>Sodann ist in Übereinstimmung mit dem SEM nicht davon auszugehen, der Beschwerdeführer würde bei einer Rückkehr nach Algerien aus individuellen Gründen wirtschaftlicher, sozialer oder gesundheitlicher Natur in eine existenzielle Notlage geraten, die als konkrete Gefährdung im Sinne der zu beachtenden Bestimmung zu werten wäre (Art. 83 Abs. 4 AIG). Der (...)jährige und alleinstehende Beschwerdeführer hat seinen Angaben zufolge bis zur Ausreise im (...) 2019 mit seinen Eltern und Geschwistern in einem Haus in B._______ gelebt. Er verfügt somit dort über ein verwandtschaftliches Beziehungsnetz und eine Unterkunft. Zudem kann er mehrjährige Arbeitserfahrung als (...) vorweisen, so dass davon ausgegangen werden darf, dass er bei einer Rückkehr auch künftig in der Lage sein wird, für seinen Lebensunterhalt aufzukommen. Allfällige anfängliche wirtschaftliche Reintegrationsschwierigkeiten vermögen dem Vollzug im Übrigen nicht entgegenzustehen, da blosse soziale oder wirtschaftliche Schwierigkeiten, von den die ansässige Bevölkerung betroffen ist (bspw. Mangel an Arbeitsplätzen), keine existenzbedrohende Situation zu begründen vermögen (vgl. BVGE 2010/41 E. 8.3.6). In Bezug auf die vorgebrachten (...) ist darauf hinzuweisen, dass aus gesundheitlichen Gründen nur dann auf Unzumutbarkeit des Wegweisungsvollzugs im Sinne von Art. 83 Abs. 4 AIG geschlossen werden kann, wenn eine dringend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nicht auszugehen.</w:t>
      </w:r>
    </w:p>
    <w:p>
      <w:r>
        <w:rPr>
          <w:b/>
        </w:rPr>
        <w:t>E. 7.4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Mit vorliegendem Urteil ist das Beschwerdeverfahren abgeschlossen, weshalb sich der Antrag auf Verzicht auf die Erhebung eines Kostenvorschusses als gegenstandslos erweist.</w:t>
      </w:r>
    </w:p>
    <w:p>
      <w:r>
        <w:rPr>
          <w:b/>
        </w:rPr>
        <w:t>E. 10.1</w:t>
      </w:r>
    </w:p>
    <w:p>
      <w:r>
        <w:t>Das Gesuch um Gewährung der unentgeltlichen Rechtspflege ist - unabhängig davon, ob der Antrag des Beschwerdeführers nebst der unentgeltlichen Prozessführung auch die unentgeltliche Rechtsvertretung umfassen sollte -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