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D-5705/2016 vom 17. August 2017</w:t>
      </w:r>
    </w:p>
    <w:p>
      <w:r>
        <w:t>Bundesverwaltungsgericht, 2017-08-17, DE</w:t>
      </w:r>
    </w:p>
    <w:p>
      <w:r>
        <w:rPr>
          <w:b/>
        </w:rPr>
        <w:t xml:space="preserve">Quelle: </w:t>
      </w:r>
      <w:r>
        <w:t>https://mcp.opencaselaw.ch/entscheid/bvger_D-5705_2016</w:t>
      </w:r>
    </w:p>
    <w:p>
      <w:r>
        <w:t>FR: TAF D-5705/2016 du 17 août 2017</w:t>
      </w:r>
    </w:p>
    <w:p>
      <w:r>
        <w:t>IT: TAF D-5705/2016 del 17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Abs. 1 VwVG).</w:t>
      </w:r>
    </w:p>
    <w:p>
      <w:r>
        <w:rPr>
          <w:b/>
        </w:rPr>
        <w:t>E. 3.1</w:t>
      </w:r>
    </w:p>
    <w:p>
      <w:r>
        <w:t>Die hauptsächlichen Beschwerdeanträge lauten, es sei die angefochtene Verfügung aufzuheben und den Beschwerdeführenden Asyl zu gewähren. Mithin richtet sich die Beschwerdeeingabe sinngemäss ausschliesslich gegen die Ziff. 1 und 2 des Dispositivs der angefochtenen Verfügung (betreffend die Ablehnung des Asylgesuchs sowie die Feststellung des SEM, die Beschwerdeführenden erfüllten die Flüchtlingseigenschaft nicht). Die Fragen der Wegweisung und deren Vollzugs bilden damit nicht Gegenstand des Beschwerdeverfahrens, und die von der Vorinstanz verfügte vorläufige Aufnahme bleibt von der Anfechtung unberührt.</w:t>
      </w:r>
    </w:p>
    <w:p>
      <w:r>
        <w:rPr>
          <w:b/>
        </w:rPr>
        <w:t>E. 3.2</w:t>
      </w:r>
    </w:p>
    <w:p>
      <w:r>
        <w:t>Die soeben getroffene Feststellung gilt ungeachtet des Eventualantrags in der Beschwerdeschrift, es sei von Amtes wegen die vorläufige Aufnahme der Beschwerdeführenden zu verfügen. Angesichts der von der Vorinstanz angeordneten vorläufigen Aufnahme entbehrt dieser Antrag offensichtlich eines Sinns, und auf ihn ist nicht weiter einzugehen.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Ablehnung der Asylgesuche im Wesentlichen folgendermassen: Zunächst habe der Beschwerdeführer hinsichtlich seiner Asylgründe widersprüchliche Angaben gemacht. Bei der Erstbefragung habe der Beschwerdeführer zu Protokoll gegeben, er habe sich an seinem Arbeitsplatz bei der Firma G._______ gegen das syrische Regime und gegen die Hizbollah geäussert, und er sei deshalb als Verräter betrachtet worden. Anlässlich der eingehenden Anhörung habe er hingegen ausgesagt, er sei zweimal, Ende des Jahres 2010 und nach Ausbruch des Bürgerkriegs in Syrien, durch die Hizbollah aufgefordert worden, ihre Mitglieder zu trainieren, was er aber abgelehnt habe. Deswegen sei ihm vorgeworfen worden, gegen die Hizbollah zu arbeiten. Dem Reisepass des Beschwerdeführers sei ausserdem zu entnehmen, dass er sich in den Jahren 2011 bis 2012 sowie Ende des Jahres 2013 in Italien aufgehalten habe, um seine Tochter zu medizinischen Behandlungen und Kontrollen zu begleiten. Sollte er tatsächlich wie behauptet im Libanon von ernsthaften Nachteilen seitens Angehöriger der Hizbollah betroffen gewesen sein, so sei folglich zu erwarten gewesen, dass er aus Italien nicht wieder in seinen Heimatstaat zurückgekehrt wäre. Weiter habe der Beschwerdeführer als Beweismittel die Kopie eines angeblich am 12. März 2011 ausgestellten Dokuments eingereicht, in dem dazu aufgerufen werde, ihn zu verfolgen. Jedoch habe er ausserdem ausgesagt, das Schriftstück sei ihm erst Ende des Jahres 2012 zugeschickt worden. Sollte die Hizbollah tatsächlich bereits im März 2011 beabsichtigt haben, ihn zu verfolgen, so wäre dies der genannten Miliz somit ohne Weiteres leicht gefallen. Die eingereichten Dokumente, bei welchen es sich um Suchanzeigen syrischer Behörden, der Baath-Partei und des Hizbollah handeln solle, lägen nur in Kopien vor, die ohne weiteres manipulierbar seien. Insgesamt dränge sich der Schluss auf, dass es sich bei den vorgebrachten Asylgründen um ein Konstrukt handle, um der Tochter C._______ in der Schweiz eine medizinische Behandlung zu ermöglichen.</w:t>
      </w:r>
    </w:p>
    <w:p>
      <w:r>
        <w:rPr>
          <w:b/>
        </w:rPr>
        <w:t>E. 5.2</w:t>
      </w:r>
    </w:p>
    <w:p>
      <w:r>
        <w:t>Dieser Einschätzung des SEM ist vollständig zu folgen. In der Tat machte der Beschwerdeführer im Rahmen seiner Erstbefragung geltend, er werde durch die libanesische Baath-Partei verfolgt, die ihn als Verräter betrachte, weil er sich kritisch gegen das syrische Regime und gegen die libanesische Hizbollah geäussert habe. Anlässlich der eingehenden Anhörung brachte er demgegenüber vor, seine Gefährdung in seinem Heimatstaat, dem Libanon, sei darauf zurückzuführen, dass er durch die libanesische Hizbollah in seiner Eigenschaft als Trainer für Thai-Boxen aufgefordert worden sei, die Angehörigen ihrer Miliz zu trainieren. Weil er als Sunnit die schiitische Hizbollah ablehne, habe er dies jedoch verweigert, und deswegen werde er nun sowohl durch die genannte Miliz als auch von der Baath-Partei verfolgt. In Übereinstimmung mit der Vorinstanz ist festzustellen, dass die Angaben des Beschwerdeführers anlässlich der Erstbefragung selbst unter Berücksichtigung deren summarischen Charakters - nicht mit seinen Ausführungen bei der eingehenden Anhörung vereinbar sind. Darüber hinaus erscheint weder als nachvollziehbar, weshalb der Beschwerdeführer, welcher der sunnitischen Glaubensrichtung des Islams angehört, durch die schiitische Hizbollah als Trainer ihrer Milizionäre angestellt werden sollte, noch weshalb er durch diese Miliz und die schiitische Baath-Partei angesichts seiner religiösen Ausrichtung, die im Libanon auch die politische Zugehörigkeit prägt, als Verräter betrachtet werden sollte. Auch ist - wiederum in Übereinstimmung mit der Argumentation in der angefochtenen Verfügung darauf hinzuweisen, dass der Beschwerdeführer in seinem Heimatstaat spätestens seit dem Jahr 2010 die angeblichen Probleme gehabt haben will, sich nach eigenen Angaben sowie entsprechenden Eintragungen in seinem Reisepass jedoch in den Jahren 2011 und 2013 zweimal zu medizinischen Behandlungszwecken der Tochter C._______ legal in Italien aufhielt und jeweils wieder in den Libanon zurückkehrte. Auch angesichts dieser zweimaligen Ausreise und Wiedereinreise in den Heimatstaat erscheint es nicht als glaubhaft, dass der Beschwerdeführer im fraglichen Zeitraum im Libanon einer asylrechtlich relevanten Gefährdung ausgesetzt war. Die Beschwerdeschrift beschränkt sich weitgehend darauf, die Erwägungen der Vorinstanz als unzutreffend zu bezeichnen, enthält darüber hinaus jedoch keine stichhaltigen Argumente, welche zu anderen als den vom SEM gezogenen Schlüssen führen könnten.</w:t>
      </w:r>
    </w:p>
    <w:p>
      <w:r>
        <w:rPr>
          <w:b/>
        </w:rPr>
        <w:t>E. 5.3</w:t>
      </w:r>
    </w:p>
    <w:p>
      <w:r>
        <w:t>Auch die übrigen von den Beschwerdeführenden vorgebrachten Argumente, wonach die allgemeine Sicherheitslage im Libanon kritisch und die medizinische Versorgung ihrer Tochter nicht gewährleistet gewesen sei, sind offensichtlich nicht geeignet, die Flüchtlingseigenschaft im Sinne von Art. 3 AsylG zu begründen.</w:t>
      </w:r>
    </w:p>
    <w:p>
      <w:r>
        <w:rPr>
          <w:b/>
        </w:rPr>
        <w:t>E. 5.4</w:t>
      </w:r>
    </w:p>
    <w:p>
      <w:r>
        <w:t>Zusammenfassend erweist sich, dass die Beschwerdeführenden keine asylrelevante Verfolgung geltend gemacht haben. Die Vorinstanz hat folglich ihre Asylgesuche zu Recht abgelehnt.</w:t>
      </w:r>
    </w:p>
    <w:p>
      <w:r>
        <w:rPr>
          <w:b/>
        </w:rPr>
        <w:t>E. 6.1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6.2</w:t>
      </w:r>
    </w:p>
    <w:p>
      <w:r>
        <w:t>Schliesslich ist im Sinne einer ergänzenden Klarstellung ausserdem festzuhalten, dass das im Beschwerdeverfahren eingereichte ärztliche Zeugnis, das sich auf die gesundheitliche Situation der Tochter C._______ bezieht, lediglich unter dem Aspekt der Zumutbarkeit des Wegweisungsvollzugs von Belang sein kann, jedoch im vorliegenden Fall offensichtlich ohne entscheidwesentliche Bedeutung ist. Den entsprechenden medizinischen Fragen wurde durch die Vorinstanz in der angefochtenen Verfügung im Rahmen der Anordnung der vorläufigen Aufnahme Rechnung getragen.</w:t>
      </w:r>
    </w:p>
    <w:p>
      <w:r>
        <w:rPr>
          <w:b/>
        </w:rPr>
        <w:t>E. 7</w:t>
      </w:r>
    </w:p>
    <w:p>
      <w:r>
        <w:t>Aus den angestellten Erwägungen ergibt sich, dass der - einzig in den Ziff. 1 und 2 des Dispositivs angefochtene - Asylentscheid des SEM das Bundesrecht nicht verletzt sowie den rechtserheblichen Sachverhalt richtig und vollständig feststellt (Art. 106 AsylG). Die Beschwerde ist folglich abzuweisen.</w:t>
      </w:r>
    </w:p>
    <w:p>
      <w:r>
        <w:rPr>
          <w:b/>
        </w:rPr>
        <w:t>E. 8</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