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D-5704/2015 vom 16. Februar 2016</w:t>
      </w:r>
    </w:p>
    <w:p>
      <w:r>
        <w:t>Bundesverwaltungsgericht, 2016-02-16, DE</w:t>
      </w:r>
    </w:p>
    <w:p>
      <w:r>
        <w:rPr>
          <w:b/>
        </w:rPr>
        <w:t xml:space="preserve">Quelle: </w:t>
      </w:r>
      <w:r>
        <w:t>https://mcp.opencaselaw.ch/entscheid/bvger_D-5704_2015</w:t>
      </w:r>
    </w:p>
    <w:p>
      <w:r>
        <w:t>FR: TAF D-5704/2015 du 16 février 2016</w:t>
      </w:r>
    </w:p>
    <w:p>
      <w:r>
        <w:t>IT: TAF D-5704/2015 del 16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3.3</w:t>
      </w:r>
    </w:p>
    <w:p>
      <w:r>
        <w:t>Die Sicherheitslage in Afghanistan wurde vom Gericht analysiert und grundsätzlich als äusserst prekär bezeichnet (vgl. Grundsatzurteil BVGE 2011/7). Einzig für die Grossstädte Kabul sowie später auch für Herat (BVGE 2011/38) und Mazar-i-Sharif (BVGE 2011/49) wurde von einer vergleichsweise stabileren Situation ausgegangen. Vor diesem Hintergrund ist naheliegend, dass der offenbar in die Provinz C._______ zurückgekehrte Beschwerdeführer dort mit einer angespannten Sicherheitslage konfrontiert war, zumal die neuste Entwicklung jedenfalls kein Erstarken des Staates im Kampf gegen die Taliban vor Ort erkennen lässt (vgl. dazu Bundesverwaltungsgerichtsurteil D-3394/2014 vom 26. Oktober 2015 E. 4.5). Allerdings hat das SEM die Glaubhaftigkeit einer zielgerichteten asylrelevanten Verfolgung des Beschwerdeführers durch die Taliban verneint. Diese Sichtweise ist zu teilen. Die Vorinstanz hat ausführlich und nachvollziehbar dargelegt, weshalb sie die geltend gemachten Massnahmen der Taliban für unglaubhaft erachtet. In der Beschwerde wird auf diese überzeugende Analyse der Glaubhaftigkeit nur marginal und ohne stichhaltige Argumente eingegangen. Bereits anlässlich der vergleichsweise ausführlichen Erstbefragung wirkten die Schilderungen der angeblichen Verfolgung überwiegend stereotyp. Im Rahmen der Anhörung machte der Beschwerdeführer nach wie vor unsubstanziierte Angaben namentlich auch zum angeblichen Angriff und war auf Nachfragen nicht fähig, den Eindruck einer tatsächlich erlebten konkreten Gefahr zu vermitteln (A 17/16 Antworten 60 ff.). Hinzu kommen die vom SEM hervorgehobenen widersprüchlichen Angaben zu den Modalitäten des angeblichen Angriffs, was wiederum auf ein blosses Verfolgungskonstrukt hindeutet. Realkennzeichen in der Schilderung der konkreten Verfolgungshandlungen sind kaum zu erkennen. Dass die psychischen Probleme des Beschwerdeführers massgeblich für die Unglaubhaftigkeit seiner Kernvorbringen verantwortlich wären, kann den Akten nicht entnommen werden. Im Weiteren hat er zwar zwei Schreiben als Belege für die angeblichen Vorfälle zu den Akten gegeben. Im Sinne der nicht zu beanstandenden Wertung des bereits im erstinstanzlichen Verfahren eingereichten Beweismittels durch das SEM ist aber auch bei diesen Schreiben - auch in Anbetracht der Formulierungen - von mutmasslichen Gefälligkeitsdokumenten ohne hinreichenden Beweiswert auszugehen. Schliesslich ist der Vorinstanz auch insofern beizupflichten, als der Beschwerdeführer - sollte er wegen der Verwendung eines gefälschten Passes respektive der geschilderten Ausreiseumstände tatsächlich behördlich belangt werden - keine Verfolgung aus den im Asylgesetz genannten Gründen ersichtlich wäre.</w:t>
      </w:r>
    </w:p>
    <w:p>
      <w:r>
        <w:rPr>
          <w:b/>
        </w:rPr>
        <w:t>E. 3.4</w:t>
      </w:r>
    </w:p>
    <w:p>
      <w:r>
        <w:t>Konkrete Anhaltspunkte dafür, dass der Beschwerdeführer seitens der Sicherheitskräfte oder der Taliban nach der Rückkehr mit relevanten Nachteilen zu rechnen hätte, bestehen mithin nicht. Der nicht bestrittenen generell angespannten Lage vor Ort hat das SEM mit der vorläufigen Aufnahme des Beschwerdeführers Rechnung getragen.</w:t>
      </w:r>
    </w:p>
    <w:p>
      <w:r>
        <w:rPr>
          <w:b/>
        </w:rPr>
        <w:t>E. 4</w:t>
      </w:r>
    </w:p>
    <w:p>
      <w:r>
        <w:t>Unter Berücksichtigung der gesamten Umstände folgt, dass der Beschwerdeführer keine Gründe nach Art. 3 AsylG nachweisen oder glaub­haft machen konnte. Die Vorinstanz hat die Flüchtlingseigen­schaft zu Recht verneint und das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6.2</w:t>
      </w:r>
    </w:p>
    <w:p>
      <w:r>
        <w:t>Der Beschwerdeführer wurde vom SEM mit Entscheid vom 17. August 2015 wegen Unzumutbarkeit des Wegweisungsvollzuges vorläufig in der Schweiz aufgenommen. Ausführungen zum Vollzug der Wegweisung erübrigen sich demnach.</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geleistete Kostenvorschuss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