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D-5700/2014 vom 28. April 2016</w:t>
      </w:r>
    </w:p>
    <w:p>
      <w:r>
        <w:t>Bundesverwaltungsgericht, 2016-04-28, DE</w:t>
      </w:r>
    </w:p>
    <w:p>
      <w:r>
        <w:rPr>
          <w:b/>
        </w:rPr>
        <w:t xml:space="preserve">Quelle: </w:t>
      </w:r>
      <w:r>
        <w:t>https://mcp.opencaselaw.ch/entscheid/bvger_D-5700_2014</w:t>
      </w:r>
    </w:p>
    <w:p>
      <w:r>
        <w:t>FR: TAF D-5700/2014 du 28 avril 2016</w:t>
      </w:r>
    </w:p>
    <w:p>
      <w:r>
        <w:t>IT: TAF D-5700/2014 del 28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brachte zur Begründung des ablehnenden Asylentscheides im Wesentlichen vor,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Die Beschwerdeführerin habe im Wesentlichen vorgebracht, Probleme mit ihrem Ehemann und dessen Familie gehabt zu haben. Diese hätten sie unter Druck gesetzt, erniedrigt, bedroht und auch immer wieder tätlich angegriffen. Vor allem habe sie auch immer Angst gehabt, dass ihr Ehemann ihr das gemeinsame Kind wegnehme. Es sei festzustellen, dass es sich dabei sinngemäss um eine Verfolgung durch private Dritte handle. Eine solche Verfolgung sei jedoch nur dann asylrelevant, wenn die heimatlichen Behörden nicht schutzbereit und schutzfähig seien. Eigenen Angaben zufolge habe sie sich nur einmal an die Polizei gewendet. Diese habe sich nicht sehr für ihre Lage interessiert und sie darauf hingewiesen, sich beim nächsten Mal direkt anlässlich erneuter Übergriffe durch ihren Ehemann oder ihre Schwiegereltern bei der Polizei zu melden, weil man nur dann gegen den Ehemann vorgehen könne. Aus diesem Vorgehen der lokalen Polizei könne noch keine grundsätzliche Weigerung, die Beschwerdeführerin gegen ihren Ehemann oder die Schwiegereltern zu schützen, abgeleitet werden. Auch in der Schweiz würde die hiesige Polizei in einer vergleichbaren Situation wohl einen ähnlichen Rat erteilen. Eine Anzeige gegen die fehlbaren Familienangehörigen aufgrund der vergangenen Vorfälle wäre jedoch möglich gewesen. Sie habe nicht angeführt, dies beabsichtigt zu haben und von der Polizei daran gehindert worden zu sein. Zudem wäre es ihr möglich und zumutbar gewesen, zu ihrer Unterstützung einen Anwalt oder eine Fachorganisation einzuschalten, wenn sie sich nach einer ersten Vorsprache bei der Polizei nicht hätte durchsetzen können. Dies gelte insbesondere auch im Fall der Beschwerdeführerin, da sie studiert und in (Nennung Erwerbstätigkeit) gearbeitet habe, was ihr eine grössere Kompetenz zur Informationsbeschaffung und zur Umsetzung ihrer Rechte gebe als anderen Frauen mit geringerem Bildungsniveau. Mit diesen individuellen Voraussetzungen hätte sie in der Folge davon profitieren können, dass die türkischen Behörden und Sicherheitskräfte inzwischen für Gewalt gegen Frauen sensibilisiert seien und den betroffenen Frauen, soweit es überhaupt möglich sei, Schutz zu geben versuchten. Die rechtliche und gesellschaftliche Situation der Frauen habe sich sowohl im Allgemeinen als auch im Besonderen im Bereich der Schutzvorkehren vor einschlägigen Übergriffen im Laufe der vergangenen Jahre deutlich verbessert. Dies betreffe sowohl den gesetzgeberischen Rahmen und die Gerichtspraxis als auch institutionelle staatliche und nichtstaatliche Strukturen. So seien beispielsweise die Strafrahmen von Straftaten gegen Frauen erhöht und gleichzeitig die früher bestehenden Strafmilderungsgründe in Fällen von "Ehrenmord" und Vergewaltigung aufgehoben worden; gemäss Art. 82 des Strafgesetzbuches gelte "Ehrenmord" nun als qualifiziertes Tötungsdelikt, welches mit lebenslänglicher Gefängnisstrafe zu ahnden sei. Es könne heutzutage von einer tatsächlichen Beachtung und Umsetzung der gesetzlichen Vorgaben zum Schutz der Frau in der Rechtswirklichkeit ausgegangen werden. Zudem existierten in der Türkei mittlerweile zahlreiche Frauenhäuser, in welche bedrohte Frauen auch Aufnahme finden würden. Daneben seien auch verschiedene spezifische Nichtregierungsorganisationen (NGOs), welche gut mit den staatlichen Stellen und den Polizeibehörden zusammenarbeiten würden, um eine Verbesserung der Stellung der Frau sowie um Unterstützung und Gewährung von Schutz an Opfer innerfamiliärer Gewalt bemüht. Vor diesem Hintergrund sei die Beschwerdeführerin nicht auf den Schutz der Schweiz angewiesen, weshalb ihre Vorbringen als nicht asylbeachtlich zu erachten seien.</w:t>
      </w:r>
    </w:p>
    <w:p>
      <w:r>
        <w:rPr>
          <w:b/>
        </w:rPr>
        <w:t>E. 3.2</w:t>
      </w:r>
    </w:p>
    <w:p>
      <w:r>
        <w:t>Demgegenüber wendete die Beschwerdeführerin in ihrer Rechtsmitteleingabe im Wesentlichen ein, obwohl der Gesetzgeber durch Revisionen im Bereich des Zivil- und Strafrechts die Situation der Frauen auf rechtlicher Ebene verbessert habe, würden diese Gesetzesänderungen in der Praxis nicht konsequent umgesetzt. Öffentlichen Quellen zufolge sei der türkische Staat nicht in der Lage, verletzliche Personengruppen wie Frauen und Kinder effektiv vor Gewalt zu schützen. Ehrenmorde und Gewalt blieben weiterhin weit verbreitet. Viele Polizeibeamte würden die Problematik der häuslichen Gewalt als Privatsache betrachten und die Frauen, die eine Anzeige machen wollten, nach Hause schicken. Sodann würden oft zusätzliche Berichte und Beweise erwartet, obwohl dies das Gesetz nicht verlange. Eine Frau aus konservativen Kreisen und aus der kurdischen Kultur werde durch eine Scheidung stigmatisiert. Diese sei nur schwer in die Wege zu leiten. Das türkische Recht kenne zudem kein gemeinsames Sorgerecht und der Richter habe bei der Zuteilung desselben einen grossen Ermessensspielraum. Der angefochtene Entscheid trage ihren besonderen Lebensumständen als Frau in einer patriarchalischen, religiös-konservativen Gesellschaft keinerlei Rechnung. Ihre Schilderungen zeigten, dass sie aufgrund ihrer Situation ihrem Ehemann und dessen Eltern schutzlos ausgeliefert gewesen sei. Aufgrund ihrer finanziellen Abhängigkeit sowie des Verantwortungsgefühls gegenüber ihrem Kind sei ihr nur der Verbleib bei der gewalttätigen Familie übrig geblieben. Sie habe gewusst, dass sie im Falle der Flucht von ihrem Mann gesucht würde und auch an einem anderen Ort in der Türkei mit Konsequenzen zu rechnen hätte. Die dadurch entstandene psychische Belastung habe eine entsprechende Behandlung nötig gemacht. Sie sei von ihren Schwiegereltern regelmässig überwacht, sie sei von ihrer vertrauten Umgebung abgeschirmt und es sei ihr das Mobiltelefon entzogen worden. Da sie nicht arbeitstätig und daher von ihrem Mann finanziell abhängig gewesen sei, ohne dass sie sich auf die Unterstützung von ihrer Familie hätte verlassen können, sei nur schon aufgrund ihrer finanziellen Situation die Mandatierung eines Anwalts ausgeschlossen gewesen. Aus den gleichen Gründen sei auch eine Flucht in ein Frauenhaus weder möglich noch zumutbar gewesen. Dass sie nach ihrer negativen Erfahrung bei der Polizei den Glauben in die staatlichen Institutionen verloren habe und nicht gewillt gewesen sei, sich erneut an die Polizei zu wenden respektive in ein Frauenhaus zu gehen, da sie von einer Frau wisse, die in einer solchen Institution sexuell belästigt worden sei, sei vorliegend nach objektiven Gesichtspunkten nachvollziehbar. Das Studium und ihre Arbeitserfahrung hätten nichts daran geändert, dass sie aufgrund ihrer gesundheitlichen Verfassung und ihrer wirtschaftlichen Abhängigkeit nicht in der Lage gewesen sei, jene Stellen zu kontaktieren, die ihr nach Auffassung des BFM hätten helfen können. Es könne kaum davon ausgegangen werden, dass sie bei einer Rückkehr in die Türkei für ihre beiden Kinder finanziell sorgen könne. Einer Arbeitstätigkeit sei sie letztmals vor (...) Jahren nachgegangen. Als alleinstehende Frau mit zwei kleinen Kindern eine neue Existenz aufzubauen, sei bei Vorliegen einer schweren Depression nahezu unmöglich. Zudem müsste sie mit erneuten Repressalien durch die Familie ihres Ehemannes rechnen und dieser würde ihren Aufenthaltsort erfahren, sollte sie tatsächlich Unterhaltsbeiträge gegenüber ihm geltend machen. Da ihr zweites Kind einer Vergewaltigung durch ihren Ehemann entsprungen sei, könne ihr auch aus diesem Grund nicht zugemutet werden, sich wieder in die bisherigen Lebensumstände zurückzubegeben. Der türkische Staat sei im Falle von häuslicher Gewalt insgesamt weder als schutzwillig noch als schutzfähig zu erachten. Sodann habe das BFM bezüglich der innerstaatlichen Fluchtalternative die Begründungspflicht verletzt, da jene mangelhaft begründet sei. Es sei in keinster Weise ersichtlich, weshalb das BFM davon ausgehe, dass die nötigen finanziellen Ressourcen für ein selbstständiges Leben in der Türkei vorhanden sein sollen. Auch könne mitnichten von der Existenz eines familiären Beziehungsnetzes in der Türkei gesprochen werden.</w:t>
      </w:r>
    </w:p>
    <w:p>
      <w:r>
        <w:rPr>
          <w:b/>
        </w:rPr>
        <w:t>E. 4.1</w:t>
      </w:r>
    </w:p>
    <w:p>
      <w:r>
        <w:t>Die Beschwerdeführerin bringt in ihrer Rechtsmitteleingabe eine Verletzung der Begründungspflicht, mithin des rechtlichen Gehörs, durch die Vorinstanz vor. Konkret habe diese das Vorhandensein einer innerstaatlichen Fluchtalternative ungenügend begründet. Diese Rüge ist vorweg zu prüfen, da eine allfällige Verletzung der Begründungspflicht eine Rückweisung der Sache an die Vorinstanz zur Folge hätte, weshalb sich eine materielle Beurteilung erübrigen würde.</w:t>
      </w:r>
    </w:p>
    <w:p>
      <w:r>
        <w:rPr>
          <w:b/>
        </w:rPr>
        <w:t>E. 4.1.1</w:t>
      </w:r>
    </w:p>
    <w:p>
      <w:r>
        <w:t>Diesbezüglich ist anzuführen, dass die Vorinstanz in Beachtung des Grundsatzes des rechtlichen Gehörs (Art. 29 Abs. 2 BV, Art. 29 VwVG, Art. 32 Abs. 1 VwVG) die Vorbringen der Beschwerdeführerin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Beschwerdeführerin nicht auf den Schutz der Schweiz angewiesen sei. Weiter zeigte sie auf, weshalb weder die in der Türkei herrschende politische Situation noch andere - insbesondere persönliche - Gründe gegen die Zumutbarkeit der Rückführung in den Heimatstaat sprechen würden. Dabei berücksichtigte die Vorinstanz auch den Umstand, dass es sich bei der Beschwerdeführerin um eine von ihrem Ehemann getrennt lebende Frau mit zwei kleinen Kindern handelt. Überdies wurden ihre Bildung und Berufserfahrung sowie ihre noch in der Türkei lebenden Familienangehörigen erwähnt und auch auf die Möglichkeiten finanzieller Ressourcen hingewiesen. Die entsprechenden Vorbringen wurden anschliessend unter dem Blickwinkel allfälliger, der Zumutbarkeit des Wegweisungsvollzugs entgegenstehender Vollzugshindernisse geprüft (vgl. act. A24/8 S. 5). Eine Verletzung der Begründungspflicht ist auch daher nicht zu erkennen, weil es der Beschwerdeführerin möglich war, sich ein Bild über die Tragweite des BFM-Entscheides zu machen und diesen sachgerecht anzufechten (vgl. BGE 129 I 232 E. 3.2). In diesem Zusammenhang ist festzuhalten, dass sich die verfügende Behörde nicht ausdrücklich mit jeder tatbeständlichen Behauptung und jedem rechtlichen Einwand auseinandersetzen muss, sondern sich auf die wesentlichen Gesichtspunkte beschränken darf (vgl. BGE 126 I 97 E. 2b; BVGE 2013 E. 4.1, 2008/47 E. 3.2).</w:t>
      </w:r>
    </w:p>
    <w:p>
      <w:r>
        <w:rPr>
          <w:b/>
        </w:rPr>
        <w:t>E. 4.1.2</w:t>
      </w:r>
    </w:p>
    <w:p>
      <w:r>
        <w:t>Zusammenfassend erweist sich die Rüge der Verletzung der Begründungspflicht, mithin des rechtlichen Gehörs, als unbegründet.</w:t>
      </w:r>
    </w:p>
    <w:p>
      <w:r>
        <w:rPr>
          <w:b/>
        </w:rPr>
        <w:t>E. 4.2</w:t>
      </w:r>
    </w:p>
    <w:p>
      <w:r>
        <w:t>In materieller Hinsicht ergibt sich aus den Vorbringen der Beschwerdeführerin die Rüge der Verletzung von Bundesrecht, indem zu Unrecht auf fehlende Asylrelevanz der Vorbringen der Beschwerdeführenden geschlossen worden sei.</w:t>
      </w:r>
    </w:p>
    <w:p>
      <w:r>
        <w:rPr>
          <w:b/>
        </w:rPr>
        <w:t>E. 4.2.1</w:t>
      </w:r>
    </w:p>
    <w:p>
      <w:r>
        <w:t>Das Bundesverwaltungsgericht hat sich in mehreren Urteilen (vgl. u.a. D-4592/2013 vom 8. Januar 2014 und D-3305/2015 vom 4. Januar 2016 m.w.H.) ausführlich zur rechtlichen und gesellschaftlichen Situation der türkischen Frau im Allgemeinen sowie im Besonderen zu deren Schutz vor Übergriffen mit soziokulturellem Hintergrund bis hin zum Ehrenmord geäussert. Zur Umsetzung des im Jahre 1998 in Kraft getretenen, im Jahre 2007 ergänzten Familienschutzgesetzes Nr. 4320 seien 166 Familiengerichte geschaffen worden. Der Zugang zu den Gerichten sowie die Vollstreckung der Urteile seien für die klagende Partei kostenlos. Sodann sei bei der Revision des Strafgesetzbuches im Jahre 2004 der Strafrahmen für Strafen bei Taten gegen Frauen erhöht und die Strafmilderungsgründe seien bei Fällen von Ehrenmord und Vergewaltigung aufgehoben worden. Zurzeit seien 129 Frauenhäuser in Betrieb. Die Türkei habe im Jahr 2011 eine europäische Konvention unterzeichnet, mit welcher der Europarat konkret gegen häusliche Gewalt vorgehen wolle, und im März 2012 sei ein Gesetz zum besseren Schutz von Frauen gegen häusliche Gewalt erlassen sowie ein Gesetz über die Verhütung von Gewalt gegen Frauen, vorbeugende Massnahmen gegen häusliche Gewalt und Missbrauch verabschiedet worden. Gestützt darauf seien 14 neue Zentren zur Gewaltprävention und Überwachung ( ÖNIM) geschaffen worden; weitere seien geplant.</w:t>
      </w:r>
    </w:p>
    <w:p>
      <w:r>
        <w:rPr>
          <w:b/>
        </w:rPr>
        <w:t>E. 4.2.2</w:t>
      </w:r>
    </w:p>
    <w:p>
      <w:r>
        <w:t>Die türkischen Frauen stehen familiären Übergriffen nicht ohnmächtig gegenüber. Gemäss den vorstehenden Ausführungen gehen die türkischen Behörden offensichtlich gegen Gewalt in der Familie und Ehrenmorde vor und sind grundsätzlich in der Lage, Schutz zu gewähren. Sodann spricht nicht gegen den Schutzwillen und die Schutzfähigkeit eines Staates, wenn die zuständigen Behörden nicht jeder darum ersuchenden Person vollumfänglichen persönlichen Schutz gewähren können. Dazu bedarf es einer aussergewöhnlichen Situation, welche vorliegend jedoch nicht gegeben ist. Zwar ersuchte die Beschwerdeführerin gemäss eigenen Angaben bis anhin die türkischen Behörden (...) einmal um Schutz, indem sie sich an die lokale Polizei gewendet und vom Beamten die Auskunft erhalten habe, sie solle sich bei einer aktuellen Auseinandersetzung melden und nicht zu einem späteren Zeitpunkt (vgl. act. A19/9 S. 3). Aus dieser Reaktion folgerte die Vorinstanz - entgegen der in der Beschwerdeschrift geäusserten Ansicht - zu Recht, dass daraus noch nicht auf eine grundsätzliche Unwilligkeit der Polizei, die Beschwerdeführerin gegen ihren Ehemann oder die Schwiegereltern zu schützen, geschlossen werden kann, zumal sie in der Folge auch keine Anzeige einreichte respektive aus ihren Äusserungen auch nicht ersichtlich ist, dass sie dies hätte tun wollen. Alleine der Hinweis, ihr sei das Handy abgenommen worden und die Schwiegereltern hätten versucht, sie zu isolieren, respektive sie sei von diesen überwacht worden, was die Inanspruchnahme des staatlichen Schutzes verunmöglicht habe, vermag an dieser Einschätzung nichts zu ändern. So handelt es sich bei der Beschwerdeführerin einerseits um eine gebildete Frau mit entsprechenden Kompetenzen, sich zu organisieren, zumal sie offensichtlich auch in der Lage war, selbstständig ihre Ausreise in die Wege zu leiten (vgl. act. A4/12 S. 7 f.; A19/9 S. 6), und andererseits verfügte sie trotz des auf sie ausgeübten Drucks über einigen (zeitlichen) Freiraum, da sie ungefähr gewusst habe, wann die Schwiegereltern jeweils zu ihr kämen, und sie sich mit ihrem Kind öfters in den Park zum Spazieren begeben habe (vgl. act. A19/9 S. 4), was ihr beispielsweise auch die Möglichkeit eröffnet hätte, sich in dieser Zeit ein neues Handy zu beschaffen oder im Falle einer Weigerung der örtlichen Polizei, ihr zu helfen, sich nötigenfalls mit Hilfe eines Anwalts bei der vorgesetzten Stelle beziehungsweise bei den zuständigen Behörden Gehör zu verschaffen. Der Beschwerdeführerin ist daher die Inanspruchnahme einer staatlichen Schutzinfrastruktur auch subjektiv zuzumuten (vgl. dazu etwa BVGE 2013/5 E. 5.4.3 S. 57, 2008/4 E. 5.2 S. 38). An dieser Einschätzung vermögen die Ausführungen in der Rechtsmitteleingabe, die Hinweise auf ein Urteil des EGMR aus dem Jahre 2009 sowie auf eine Auskunft der Länderanalyse der Schweizerischen Flüchtlingshilfe (SFH) vom 25. Juni 2014 (Rahel Zürrer, Türkei: Sorgerecht bei einer Scheidung) nichts zu ändern. Auch wenn - wie auf Beschwerdeebene vorgebracht und was an sich nicht zu bestreiten ist - die Umsetzung der staatlichen Programme nur langsam vorankommt und in der Türkei nach wie vor häufig Gewalt und Ehrenmorde geschehen, so bedeutet dies keineswegs, dass die bedrohten Frauen innerfamiliären Übergriffen völlig schutzlos ausgeliefert wären und sich in einer ausweglosen Situation befinden würden. Vielmehr zeigt sich gemäss vorstehenden Ausführungen, dass die türkischen Behörden entschlossen sind, gegen häusliche Gewalt und das Phänomen der Ehrenmorde effektiv vorzugehen, und dass sie grundsätzlich auch in der Lage sind, Schutz zu gewähren. Entgegen der von der Beschwerdeführerin vertretenen Ansicht ist vorliegend vom Schutzwillen und der Schutzfähigkeit des türkischen Staates auszugehen. Dies trifft insbesondere auf die türkischen Grossstädte zu. Um sich den befürchteten Repressalien zu entziehen, steht es der Beschwerdeführerin frei, aufgrund der bestehenden Niederlassungsfreiheit in einer derjenigen Grossstädte Wohnsitz zu nehmen, die über die entsprechenden Einrichtungen verfügen und dort - mit Blick auf die geltend gemachten Bedenken bezüglich Frauenhäusern - eine Institution ihres Vertrauens auszuwählen. Das Vorliegen eines unerträglichen psychischen Druckes im Sinne von Art. 3 AsylG - wie er in der Rechtsmitteleingabe vorgebracht wird - ist somit zu verneinen.</w:t>
      </w:r>
    </w:p>
    <w:p>
      <w:r>
        <w:rPr>
          <w:b/>
        </w:rPr>
        <w:t>E. 4.3</w:t>
      </w:r>
    </w:p>
    <w:p>
      <w:r>
        <w:t>Zusammenfassend ist festzuhalten, dass die Türkei hinsichtlich der von der Beschwerdeführerin geltend gemachten privaten Verfolgung als schutzwillig und schutzfähig zu erachten ist, und jener die Inanspruchnahme dieses Schutzes zumutbar ist. Somit hat das BFM zu Recht die Flüchtlingseigenschaft verneint und das Asylgesuch abgelehnt. 5.1 Lehnt das Staatssekretariat das Asylgesuch ab oder tritt es darauf nicht ein, so verfügt es in der Regel die Wegweisung aus der Schweiz und ordnet den Vollzug an; es berücksichtigt dabei den Grundsatz der Einheit der Familie (Art. 44 AsylG). 5.2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w:t>
      </w:r>
    </w:p>
    <w:p>
      <w:r>
        <w:t>Vorliegend erweist sich der Vollzug der Wegweisung in Würdigung sämtlicher Umstände, in Berücksichtigung der besonderen persönlichen Verhältnisse und der familiären Konstellation der Beschwerdeführenden sowie in Beachtung der gesundheitlichen Situation der Beschwerdeführerin insgesamt als unzumutbar, da unter anderem mangels eines tragfähigen Beziehungsnetzes mit überwiegender Wahrscheinlichkeit von einer konkreten Gefährdung bei einer Rückführung in die Türkei auszugehen ist.</w:t>
      </w:r>
    </w:p>
    <w:p>
      <w:r>
        <w:rPr>
          <w:b/>
        </w:rPr>
        <w:t>E. 6.5</w:t>
      </w:r>
    </w:p>
    <w:p>
      <w:r>
        <w:t>Die in E. 6.1 erwähnten drei Bedingungen für einen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BVGE 2009/51 E. 5.4 S. 748, EMARK 2006 Nr. 6 E. 4.2 S. 54 f.). Auf die Prüfung weiterer Wegweisungsvollzugshindernisse kann somit verzichtet werden.</w:t>
      </w:r>
    </w:p>
    <w:p>
      <w:r>
        <w:rPr>
          <w:b/>
        </w:rPr>
        <w:t>E. 6.6</w:t>
      </w:r>
    </w:p>
    <w:p>
      <w:r>
        <w:t>Nachdem sich aus den Akten keine Hinweise auf das Vorliegen von Ausschlussgründen im Sinne von Art. 83 Abs. 7 AuG ergeben, sind die Voraussetzungen für die Anordnung der vorläufigen Aufnahme gemäss Art. 83 Abs. 1 und 4 AuG erfüllt.</w:t>
      </w:r>
    </w:p>
    <w:p>
      <w:r>
        <w:rPr>
          <w:b/>
        </w:rPr>
        <w:t>E. 7</w:t>
      </w:r>
    </w:p>
    <w:p>
      <w:r>
        <w:t>Zusammenfassend ist daher die Beschwerde gutzuheissen, soweit sie die Frage des Wegweisungsvollzugs betrifft. Im Übrigen ist die Beschwer­de abzuweisen. Die Ziffern 4 und 5 des Dispositivs der vorinstanzlichen Verfügung vom 2. September 2014 sind aufzuheben und das SEM ist anzuweisen, die Beschwerdeführenden in der Schweiz wegen Unzumutbarkeit des Wegweisungsvollzugs vorläufig aufzunehmen.</w:t>
      </w:r>
    </w:p>
    <w:p>
      <w:r>
        <w:rPr>
          <w:b/>
        </w:rPr>
        <w:t>E. 8.1</w:t>
      </w:r>
    </w:p>
    <w:p>
      <w:r>
        <w:t>Bei diesem Ausgang des Verfahrens (hälftiges Obsiegen) wären den Beschwerdeführenden die reduzierten Kosten (Art. 1-3 des Reglements vom 21. Februar 2008 über die Kosten und Entschädigungen vor dem Bundesverwaltungsgericht [VGKE, SR 173.320.2]) aufzuerlegen (Art. 63 Abs. 1 VwVG). Da ihnen jedoch mit Verfügung vom 3. November 2014 wiedererwägungsweise die unentgeltliche Prozessführung im Sinne von Art. 65 Abs. 1 VwVG gewährt wurde, sind keine Verfahrenskosten zu erheben.</w:t>
      </w:r>
    </w:p>
    <w:p>
      <w:r>
        <w:rPr>
          <w:b/>
        </w:rPr>
        <w:t>E. 8.2</w:t>
      </w:r>
    </w:p>
    <w:p>
      <w:r>
        <w:t>Mit Verfügung vom 3. November 2014 wurde ausserdem das Gesuch um amtliche Verbeiständung gutgeheissen (Art. 110a Abs. 1 VwVG) und den Beschwerdeführenden ihr Rechtsvertreter als Rechtsbeistand zugeord­net. Demnach ist diesem ein amtliches Honorar für seine notwendi­gen Aufwendungen im Beschwerdeverfahren auszurichten. Der amtliche Rechtsbeistand hat keine Kostennote eingereicht, doch lässt sich der Aufwand zuverlässig abschätzen. Gestützt auf die in Betracht zu ziehenden Bemessungsfaktoren (Art. 9-13 VGKE) ist das Honorar auf insgesamt Fr. 1500.- (inkl. Auslagen und Mehrwertsteueranteil) festzusetzen. Die Hälfte dieses Betrags ist dem SEM zur Vergütung an die Beschwerdeführenden unter dem Titel einer Parteientschädigung aufzuerlegen; die andere Hälfte ist dem amtlichen Rechtsbeistand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