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D-5696/2016 vom 5. Mai 2017</w:t>
      </w:r>
    </w:p>
    <w:p>
      <w:r>
        <w:t>Bundesverwaltungsgericht, 2017-05-05, DE</w:t>
      </w:r>
    </w:p>
    <w:p>
      <w:r>
        <w:rPr>
          <w:b/>
        </w:rPr>
        <w:t xml:space="preserve">Quelle: </w:t>
      </w:r>
      <w:r>
        <w:t>https://mcp.opencaselaw.ch/entscheid/bvger_D-5696_2016</w:t>
      </w:r>
    </w:p>
    <w:p>
      <w:r>
        <w:t>FR: TAF D-5696/2016 du 5 mai 2017</w:t>
      </w:r>
    </w:p>
    <w:p>
      <w:r>
        <w:t>IT: TAF D-5696/2016 del 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SEM den Beschwerdeführer als Flüchtling anerkannt hat, beschränkt sich der Prozessgegenstand vorliegend auf die Frage, ob die Vorinstanz zu Recht vom Bestehen des Asylausschlussgrundes der Asylunwürdigkeit gemäss Art. 53 AsylG ausgegangen ist.</w:t>
      </w:r>
    </w:p>
    <w:p>
      <w:r>
        <w:rPr>
          <w:b/>
        </w:rPr>
        <w:t>E. 4.1</w:t>
      </w:r>
    </w:p>
    <w:p>
      <w:r>
        <w:t>Praxisgemäss fallen unter den in Art. 53 AsylG enthaltenen Begriff der "verwerflichen Handlungen" auch Delikte, die nicht ein schweres Verbrechen im Sinne von Art. 1 F Bst. b FK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(Ersatz des Begriffs "Zuchthaus" durch "Freiheitsstrafe von mehr als einem Jahr") scheint auch denkbar, dass eine mit weniger als drei Jahren Freiheitsstrafe bedrohte Straftat als "verwerfliche Handlung" bewertet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Entscheidungen und Mitteilungen der Schweizerischen Asylrekurskommission (EMARK) 2002 Nr. 9 E. 7d ausgeführt, hervor, dass jemand, der verwerfliche Handlungen begangen habe, des Asyls unwürdig sei, was auf einen gewissen moralischen Charakter der Norm hinweise (vgl. BVGE 2011/29 E. 9.2.2, BVGE 2011/10 E. 6 [2. Abschnitt] und das Urteil des BvGer E-4286/2008 vom 17. Oktober 2008 E. 6.3, mit weiteren Hinweisen). Das anzusetzende Beweismass wurde in der Botschaft (a.a.O. S. 73) - mit Bezug auf im Ausland begangene Straftaten - für Art. 1 F FK und Art. 53 AsylG übereinstimmend umschrieben, was sich in der Folge in der Rechtsprechung niedergeschlagen hat. Danach hat die Behörde, die über den Asylausschluss nach Art. 53 AsylG entscheidet, zu prüfen, ob hinlänglich konkrete Anhaltspunkte dafür vorliegen, der Beschwerdeführer habe eine individuelle Verantwortlichkeit für "verwerfliche Handlungen" im Sinne des Asylgesetzes. Es ist somit auf den individuellen Tatbeitrag abzustellen. Zu diesem sind nicht nur die Schwere der Tat und der persönliche Anteil am Tatentscheid, sondern auch das Motiv des Täters und allfällige Rechtfertigungs- oder Schuldmilderungsgründe zu zählen.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2011/29 E. 9.2.3 f., BVGE 2011/10 E. 6 [3. Abschnitt] und EMARK 2002 Nr. 9 E. 7d).</w:t>
      </w:r>
    </w:p>
    <w:p>
      <w:r>
        <w:rPr>
          <w:b/>
        </w:rPr>
        <w:t>E. 4.2</w:t>
      </w:r>
    </w:p>
    <w:p>
      <w:r>
        <w:t>Nach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diesfalls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 Gemäss vom Bundesverwaltungsgericht übernommener Praxis der ARK lässt sich ein Asylausschluss allein aufgrund der Mitgliedschaft bei der PKK nicht rechtfertigen. Die PKK wird nicht als kriminelle Organisation im Sinne von Art. 260ter StGB betrachtet, womit sich Mitglieder nicht allein durch ihre Zugehörigkeit strafbar machen (vgl. BVGE 2011/10 E. 6.1; EMARK 2002 Nr. 9 E. 7c; Urteil des BVGer D-11/2008 vom 9. Juli 2009 E. 6.2 mit weiteren Hinweisen). Daher kann vorliegend nicht auf eine Mitgliedschaft bei einer kriminellen Organisation geschlossen werden. An der fehlenden Verwerflichkeit der PKK-Mitgliedschaft als solcher kann dementsprechend auch der Umstand nichts ändern, dass ein Mitglied freiwillig und ohne Not oder gar mit tiefer Überzeugung beigetreten ist. Dementsprechend kann es für die Asylunwürdigkeit nicht genügen, dass ein Betroffener - beispielsweise in Form von blosser Propaganda, Mitgliederwerbung oder auch schon der Mitgliedschaft als solcher - sein Einverständnis mit dem Organisationszweck der PKK manifestiert (vgl. angefochtene Verfügung S. 4, dort 2. Abschnitt am Ende). Vielmehr ist der Fokus auf das Manifestieren eines Einverständnisses oder gar der Förderung verbrecherischer, gewaltsamer oder anderer verwerflicher Mittel zur Erreichung des Organisationszweckes zu legen.</w:t>
      </w:r>
    </w:p>
    <w:p>
      <w:r>
        <w:rPr>
          <w:b/>
        </w:rPr>
        <w:t>E. 4.3</w:t>
      </w:r>
    </w:p>
    <w:p>
      <w:r>
        <w:t>Für die Beurteilung des Verhaltens des Beschwerdeführers unter dem Blickwinkel der Asylunwürdigkeit gemäss Art. 53 AsylG sind vorliegend mithin seine Aktivitäten für die PKK im Sinne eines individuellen Tatbeitrags mit persönlicher Verantwortungsträgerschaft massgeblich. Diesbezüglich ist vorab auf die ausführlichen und zutreffenden vorinstanzlichen Erwägungen zu verweisen. In der Beschwerde behauptet der Beschwerdeführer nach wie vor, er sei bloss "einfacher Kurier" gewesen, vermag aber so die ausführliche Begründung des SEM für die andere Sichtweise nicht zu entkräften. Was das von ihm erwähnte "Missverständnis" anlässlich der Anhörung anbelangt, kann ihm ebenfalls nicht gefolgt werden. So gab er zwar an, Verhaftete hätten seinen Namen im Zusammenhang mit PKK-Aktivitäten preisgegeben (vgl. A 16/18 Antwort 54). Auch bei der BzP hatte er vorgebracht, Genossen seien verhört worden (vgl. A 5/15 S. 12). Dass das SEM im Zusammenhang mit seiner Aussage in der BzP, etwa (...) Leute der PKK vermittelt zu haben, ein Missverständnis anlässlich der Anhörung nicht berücksichtigt haben sollte, kann den Akten aber so nicht entnommen werden, zumal er bei der Anhörung die von ihm rekrutierten Personen gar nicht mehr bezifferte. Entsprechend muss er sich bei seiner Aussage anlässlich der BzP behaften lassen. Mit dem SEM ist entsprechend davon auszugehen, dass er sich über Jahre im Rahmen von Rekrutierungen für den militärischen Flügel einsetzte und dabei entgegen seinen Relativierungen in der Anhörung durchaus gewisse Verantwortlichkeiten innehatte. Hinzu kommen seine Einschleusungen von mutmasslichen Kämpfern via Iran in den Irak, was offensichtlich nicht als blosse ideelle Unterstützung qualifiziert werden kann. Vielmehr leistete er einen wesentlichen Beitrag zur Zielerreichung. Aufgrund der genannten Aspekte seines Engagements ist zu schliessen, dass er offenbar einen grossen Vertrauensstatus genoss und sich in besonderem Mass für Anliegen der PKK einsetzte. Seine Argumentation, er sei lediglich Kurier gewesen, vermag vor diesem Hintergrund und angesichts seines langjährigen Einsatzes - so auch in den C._______-Bergen (vgl. A 5/15 S. 3) offensichtlich nicht zu überzeugen. Dies umso mehr, als er bei der BzP wie erwähnt unter anderem zu Protokoll gab, er habe neue "Krieger" rekrutiert. Die Vermutung des SEM, bei ihm handle es sich entgegen seinen Aussagen um einen erfahrenen Aktivisten, welcher seine Bedeutung gegenüber der Asylbehörde in der Schweiz herunterzuspielen versuche, ist durchaus realistisch. Die Annahme, er wisse seine Angaben zum PKK-Engagement aus taktischen Gründen und im Hinblick auf aus seiner Sicht optimale Chancen für die Asylgewährung anzupassen, ist mithin naheliegend. In Berücksichtigung der Fallumstände rechtfertigt es sich, von einem individuellen Tatbeitrag auszugehen, der die Schwelle zu verwerflichen Handlungen übersteigt. Es muss davon ausgegangen werden, dass der Beschwerdeführer bei seinen Aktivitäten die Gewaltbereitschaft des militärischen Flügels in Kauf genommen hat und diesen auch aktiv unterstützte. Nach Ansicht des Bundesverwaltungsgerichts bestehen insgesamt gesehen hinreichende konkrete Anhaltspunkte dafür, dass der Beschwerdeführer zugunsten der PKK bis zur Ausreise in den Irak verwerfliche Handlungen im Sinne von Art. 53 AsylG beging. Entgegen den im Übrigen wenig stichhaltigen Beschwerdevorbringen ist dabei nicht erforderlich, dass ihm ein konkretes Delikt zu einem bestimmten Zeitpunkt nachgewiesen werden kann beziehungsweise muss.</w:t>
      </w:r>
    </w:p>
    <w:p>
      <w:r>
        <w:rPr>
          <w:b/>
        </w:rPr>
        <w:t>E. 4.4</w:t>
      </w:r>
    </w:p>
    <w:p>
      <w:r>
        <w:t>Aufgrund einer Abwägung aller Umstände im vorliegenden Einzelfall ist ferner - auch in Berücksichtigung der Tatsache, dass seinen Angehörigen Asyl gewährt wurde - nicht von der Unverhältnismässigkeit des Asylausschlusses auszugehen, zumal der Beschwerdeführer als vorläufig aufgenommener Flüchtling in der Schweiz bleiben kann. Obwohl einige Umstände dafür sprechen, dass es sich bei ihm um eine Person handelt, die Gewalt nicht unbedacht als politisches Mittel einsetzt, hat er durch sein jahrelanges und offenbar ohne Zwang erfolgtes Engagement für die PKK deren gewaltbereiten Flügel massgeblich unterstützt. Zwar gab er an, sich wegen Differenzen zum militärischen Flügel von der PKK getrennt zu haben, was zutreffen könnte, auch wenn seine Vorbringen nach dem Gesagten zumindest ambivalent wirken. Eine Gefahr für die Sicherheit und Ordnung in der Schweiz dürfte von ihm nicht ausgehen. Aufgrund der gesamten Umstände, wie namentlich der langjährigen Unterstützungsperiode, ist der Asylausschluss indes auch als angemessen zu erachten, zumal der Beschwerdeführer angab, im Irak zwar nicht mehr aktiv gewesen zu sein, aber gleichwohl Kontakte zur Bewegung gepflegt zu haben (vgl. A 18/16 Antwort 63). Bei dieser Sachlage hat die Vorinstanz dem Beschwerdeführer zu Recht wegen "verwerflicher Handlungen" im Sinne von Art. 53 AsylG das Asyl verweigert. Entsprechend kann davon abgesehen werden, auf weitere Beschwerdevorbringen und die Beweismittel einzugehen, da sie am Ergebnis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Das SEM stellte mit Entscheid vom 19. August 2016 die Flüchtlingseigenschaft des Beschwerdeführers fest und nahm ihn wegen Unzulässigkeit des Wegweisungsvollzuges vorläufig in der Schweiz auf. Ausführungen zum Vollzug der Wegweisung erübrigen sich demnach.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10. Oktober 2016 guthiess. Folglich sind keine Verfahrenskosten zu erheben, zumal sich seine finanzielle Situation - er verfügt offenbar erst seit April 2017 über eine Arbeitsstelle - noch nicht entscheidwesentlich verändert haben dürfte.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