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D-568/2019 vom 11. März 2019</w:t>
      </w:r>
    </w:p>
    <w:p>
      <w:r>
        <w:t>Bundesverwaltungsgericht, 2019-03-11, DE</w:t>
      </w:r>
    </w:p>
    <w:p>
      <w:r>
        <w:rPr>
          <w:b/>
        </w:rPr>
        <w:t xml:space="preserve">Quelle: </w:t>
      </w:r>
      <w:r>
        <w:t>https://mcp.opencaselaw.ch/entscheid/bvger_D-568_2019</w:t>
      </w:r>
    </w:p>
    <w:p>
      <w:r>
        <w:t>FR: TAF D-568/2019 du 11 mars 2019</w:t>
      </w:r>
    </w:p>
    <w:p>
      <w:r>
        <w:t>IT: TAF D-568/2019 del 11 marzo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2.3</w:t>
      </w:r>
    </w:p>
    <w:p>
      <w:r>
        <w:t>Das Bundesverwaltungsgericht entscheidet unter anderem mit besonderer Beförderlichkeit, wenn gegen die asylsuchende Person eine Landesverweisung nach Art. 66a oder Art. 66abis StGB ausgesprochen wurde (Art. 109 Abs. 5 AsylG).</w:t>
      </w:r>
    </w:p>
    <w:p>
      <w:r>
        <w:rPr>
          <w:b/>
        </w:rPr>
        <w:t>E. 3.1</w:t>
      </w:r>
    </w:p>
    <w:p>
      <w:r>
        <w:t>Der Beschwerdeführer rügt in formeller Hinsicht eine Verletzung des rechtlichen Gehörs (Akteneinsicht; Begründungspflicht) sowie eine unrichtige und unvollständige Sachverhaltsfeststellung und damit einhergehend eine Verletzung des Untersuchungsgrundsatzes. Diese Rügen sind vorab zu prüfen, da sie allenfalls geeignet wäre, eine Kassation der vorinstanzlichen Verfügung zu bewirken (vgl. Kölz/Häner/Bertschi, Verwaltungsverfahren und Verwaltungsrechtspflege des Bundes; 3. Aufl. 2013, Rz. 1043 ff. m.w.H.).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3.1.1</w:t>
      </w:r>
    </w:p>
    <w:p>
      <w:r>
        <w:t>Bezüglich der Rüge der Verletzung des Akteneinsichtsrechts macht der Beschwerdeführer geltend, das SEM habe ihm mit dem angefochtenen Entscheid nicht gleichzeitig alle Verfahrensakten ediert. Dadurch habe es eine richtige Beschwerde faktisch verunmöglicht. Diesbezüglich ist Folgendes festzuhalten: Laut der angefochtenen Verfügung vom 14. Januar 2019 (vgl. S. 5 unten) wurden dem Beschwerdeführer mit dem Asylentscheid auch die editionspflichtigen Asylakten inklusive einer Kopie des Aktenverzeichnisses, der Gesetzestext sowie das Merkblatt Rückkehrhilfe zugestellt. In der Folge stellte er beim SEM weder ein (ergänzendes) Akteneinsichtsgesuch noch führt er - obwohl im Besitz eines Aktenverzeichnisses - in seiner Beschwerdeschrift an, in welche der nicht editionspflichtigen Aktenstücke er hätte Einsicht erhalten sollen, um wirksam Beschwerde führen zu können. In diesem Zusammenhang ist festzustellen, dass es sich bei den nicht edierten Asylakten ohnehin entweder um solche handelt, die dem Beschwerdeführer bereits bekannt sind (so auch der Inhalt der als "Akten anderer Behörden" bezeichneten Aktenstücke B13 und B14, welche im Wesentlichen Unterlagen zum Strafverfahren betreffen) oder bei denen keine Editionspflicht bestand - sei es, weil es sich um interne Akten handelt (vgl. BGE 115 V 303) oder weil Geheimhaltungsinteressen bestehen. Nachdem das SEM im letzteren Fall auf die betreffenden Aktenstücke (B2 und B4) in seinem Entscheid keinen Bezug genommen hat und folglich dem Beschwerdeführer daraus offensichtlich keine konkreten Rechtsnachteile erwachsen sind, musste ihm gemäss Art. 28 VwVG weder der wesentliche Inhalt dieser Aktenstücke offengelegt noch Gelegenheit zur Stellungnahme eingeräumt werden. Sodann widerlegt er mit der Einreichung seiner als rechtsgenüglich zu erachtenden, mit Anträgen und Begründung versehenen Rechtsmitteleingabe die Rüge, es sei ihm die Erhebung einer richtigen Beschwerde faktisch verunmöglicht worden, gleich selber. Eine Verletzung des rechtlichen Gehörs, aus der sich weitergehende Ansprüche des Beschwerdeführers ergeben könnten, ist in diesem Zusammenhang demnach nicht zu erkennen.</w:t>
      </w:r>
    </w:p>
    <w:p>
      <w:r>
        <w:rPr>
          <w:b/>
        </w:rPr>
        <w:t>E. 3.1.2</w:t>
      </w:r>
    </w:p>
    <w:p>
      <w:r>
        <w:t>Im Weiteren ist auch eine Verletzung der Begründungspflicht zu verneinen.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Es ist nicht erforderlich, dass sich die Begründung einer Verfügung mit allen Parteistandpunkten einlässlich auseinandersetzt und jedes einzelne Vorbringen ausdrücklich widerlegt (vgl. BGE 136 I 184 E. 2.2.1). In der angefochtenen Verfügung hat das SEM nachvollziehbar und hinreichend differenziert aufgezeigt, von welchen Überlegungen es sich leiten liess. Es hat sich auch mit sämtlichen wesentlichen Vorbringen des Beschwerdeführers - soweit es sich als zuständig erachtete - auseinandergesetzt (vgl. angefochtener Entscheid S. 2 ff.). Da es dem Beschwerdeführer offensichtlich ohne Weiteres möglich war, die angefochtene Verfügung sachgerecht anzufechten (vgl. Art. 13 EMRK), ist die Rüge der Verletzung der Begründungspflicht unberechtigt.</w:t>
      </w:r>
    </w:p>
    <w:p>
      <w:r>
        <w:rPr>
          <w:b/>
        </w:rPr>
        <w:t>E. 3.1.3</w:t>
      </w:r>
    </w:p>
    <w:p>
      <w:r>
        <w:t>Sodann rügt der Beschwerdeführer, es habe mit dem Dolmetscher während der Anhörung Probleme gegeben, weshalb zu bezweifeln sei, dass alle seine Aussagen korrekt übersetzt worden seien. Vorliegend sind dem Anhörungsprotokoll keinerlei Hinweise zu entnehmen, dass es zwischen dem Beschwerdeführer und dem eingesetzten Dolmetscher zu Verständigungsproblemen gekommen ist, welche an der Verwertbarkeit der dort protokollierten Aussagen ernsthafte Zweifel aufkommen liessen. So äusserte sich der Beschwerdeführer zu Beginn der Anhörung auf Nachfrage dahingehend, dass er den Dolmetscher sehr gut verstehe (vgl. act. B20/14 S. 1). Aus dem Protokollverlauf entsteht denn auch an keiner Stelle der Eindruck, dass der Beschwerdeführer der ausführlichen Anhörung wegen Übersetzungsproblemen nicht hätte folgen können und es wurden bei der Rückübersetzung lediglich wenige und nur marginale Korrekturen vorgenommen (vgl. act. B20/14 S. 13). Ebenso wurde von ihm keinerlei Kritik an der Arbeit des Übersetzers oder dem Verlauf der Anhörung geübt oder sonstige Schwierigkeiten irgendwelcher Art vorgebracht. Der Beschwerdeführer erhielt Gelegenheit, seine Asylgründe in offener Erzählform darzulegen, welche durch anschliessende wiederholte Nachfragen vertieft wurden (vgl. act. B20/14 S. 9 ff.). Sodann bestätigte er am Schluss der Anhörung nach Rückübersetzung in seiner Muttersprache die Korrektheit und Vollständigkeit der protokollierten Aussagen mit seiner Unterschrift (vgl. act. B20/14 S. 13). Der Einwand einer unkorrekten Übersetzung findet daher in den Akten keine Stütze. Insgesamt lässt der Verlauf der Anhörung nicht den Schluss zu, die protokollierten Aussagen seien wegen Übersetzungsproblemen nicht verwertbar.</w:t>
      </w:r>
    </w:p>
    <w:p>
      <w:r>
        <w:rPr>
          <w:b/>
        </w:rPr>
        <w:t>E. 3.2</w:t>
      </w:r>
    </w:p>
    <w:p>
      <w:r>
        <w:t>Zusammenfassend erweisen sich die Rügen der Verletzung des rechtlichen Gehörs und des Untersuchungsgrundsatzes als unbegründet. Das SEM hat den rechtserheblichen Sachverhalt in korrekter Weise festgestellt. Dem Antrag, es sei die Sache zur Neubeurteilung an das SEM zurückzuweisen, ist demzufolge nicht stattzugeben.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des ablehnenden Asylentscheids fest, die Formulierung in Art. 3 Abs. 1 AsylG "im Land, in dem sie zuletzt wohnten" beziehe sich gemäss gängiger Lehre und der Rechtsprechung des Bundesverwaltungsgerichts (mit Verweis auf das Urteil D-7938/2009 vom 1. Juli 2011 E. 4.3) nur auf staatenlose Personen. Es könne demnach eine asylrechtliche Verfolgungssituation allein in Bezug auf den Heimatstaat des Beschwerdeführers, vorliegend Somalia, bestehen. Die angeführten Probleme hätten sich in F._______ und somit in einem Drittstaat, nicht aber im Heimatstaat des Beschwerdeführers verwirklicht, weshalb sie flüchtlingsrechtlich grundsätzlich nicht relevant seien. Daher müsse auf die vorgebrachten Probleme in F._______ nicht näher eingegangen werden und es könne offen bleiben, ob diese Nachteile als ernsthaft im Sinne des Asylgesetzes erachtet werden könnten. Soweit der Beschwerdeführer vorbringe, dass eine Rückkehr nach Somalia wegen des Krieges nicht möglich sei, handle es sich um Nachteile, welche in der allgemein schwierigen Lage in Somalia gründen würden und somit nicht asylrelevant seien. Von einer gezielten Verfolgung könne folglich nicht gesprochen werden. Von der schlechten Sicherheitslage infolge des Bürgerkriegs in Somalia seien grosse Teile der dortigen Bevölkerung betroffen, weshalb darin keine individuelle Verfolgungssituation begründet liege. Die Aussagen des Beschwerdeführers seien demnach nicht geeignet, eine konkrete Verfolgungssituation asylrelevanten Ausmasses für ihn persönlich herzuleiten. Dies umso mehr, als er seinen Darstellungen zufolge bereits als Kleinkind aus Somalia ausgereist sei.</w:t>
      </w:r>
    </w:p>
    <w:p>
      <w:r>
        <w:rPr>
          <w:b/>
        </w:rPr>
        <w:t>E. 5.2</w:t>
      </w:r>
    </w:p>
    <w:p>
      <w:r>
        <w:t>In materieller Hinsicht bringt der Beschwerdeführer vor, die Vorinstanz verkenne, dass er seine Heimat Somalia damals habe verlassen müssen, weil sein Vater die Regierung unterstützt habe und deshalb von oppositionellen Gruppen erschossen worden sei. Auch sein Grossvater sei vor seinem Vater Opfer von politischer Verfolgung geworden. Bei einer Rückkehr drohe ihm deshalb von gleicher Seite eine asylrechtlich relevante Reflexverfolgung. Seine Situation sei daher vom Bundesverwaltungsgericht noch einmal genau zu beurteilen. Zudem drohe ihm in F._______ weitere Verfolgung durch einen Angehörigen des Militärs, welcher bereits seinen Bruder angeschossen habe.</w:t>
      </w:r>
    </w:p>
    <w:p>
      <w:r>
        <w:rPr>
          <w:b/>
        </w:rPr>
        <w:t>E. 6</w:t>
      </w:r>
    </w:p>
    <w:p>
      <w:r>
        <w:t>Vorliegend kann der Auffassung der Vorinstanz gefolgt werden, gemäss welcher die Vorbringen des Beschwerdeführers den Anforderungen an die Flüchtlingseigenschaft gemäss Art. 3 AsylG nicht standhalten.</w:t>
      </w:r>
    </w:p>
    <w:p>
      <w:r>
        <w:rPr>
          <w:b/>
        </w:rPr>
        <w:t>E. 6.1</w:t>
      </w:r>
    </w:p>
    <w:p>
      <w:r>
        <w:t>Wie in der angefochtenen Verfügung - unter Hinweis auf das Urteil des Bundesverwaltungsgerichts D-7938/2009 vom 1. Juli 2011, E. 4.3., wonach sich die Formulierung in Art. 3 Abs. 1 AsylG "im Land, in dem sie zuletzt wohnten", nur auf staatenlose Personen bezieht - richtig festgehalten wurde, kann eine asylrechtliche Verfolgungssituation allein in Bezug auf den Heimatstaat, vorliegend Somalia, bestehen. Der Auseinandersetzung und Verfolgung durch einen Angehörigen des Militärs von F._______, welcher der Beschwerdeführer im Flüchtlingslager in F._______ nach seiner Darstellung ausgesetzt war, vermögen nicht zur Anerkennung der Flüchtlingseigenschaft und Asylgewährung zu führen.</w:t>
      </w:r>
    </w:p>
    <w:p>
      <w:r>
        <w:rPr>
          <w:b/>
        </w:rPr>
        <w:t>E. 6.2</w:t>
      </w:r>
    </w:p>
    <w:p>
      <w:r>
        <w:t>Soweit der Beschwerdeführer anführt, er sei zusammen mit seiner Familie vor dem Bürgerkrieg in Somalia geflüchtet respektive er könne deswegen auch nicht in seine Heimat zurückkehren, ist festzuhalten, dass grundsätzlich bei Bürgerkriegsereignissen erlittene oder befürchtete ernsthafte Nachteile, namentlich die Gefährdung von Leib, Leben und Freiheit, eine überwiegende Mehrheit aller Bewohner in gleicher Weise trifft. Der Beschwerdeführer macht vorliegend keine Behelligungen geltend, die über die grosse Teile der Bevölkerung treffenden Ereignisse und Nachteile hinausgehen, sofern diese in einen asylrelevanten Kausalzusammenhang mit seiner Ausreise gebracht werden können. Da er mangels Gezieltheit keine gegen ihn persönlich gerichtete Verfolgung dargelegt hat, erfüllt diese auch die Voraussetzungen zur Annahme begründeter Furcht nicht. Sodann macht der Beschwerdeführer eine Reflexverfolgung wegen der Aktivitäten seines Vaters und Grossvaters für die Regierung geltend. Dazu ist Folgendes festzuhalten: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Nachdem den Ausführungen des Beschwerdeführers zufolge sein im Dienst der Regierung stehender Vater - den aus den gleichen Gründen getöteten Grossvater erwähnte er erstmals im Rahmen seiner Beschwerdeschrift - bereits vor vielen Jahren infolge des Bürgerkriegs verstorben ist (vgl. act. B7/13 S. 7; B20/14 S. 8), ergeben sich daraus keinerlei Hinweise auf ein bestehendes oder künftiges Verfolgungsinteresse der heimatlichen Behörden an seiner Person. Im Übrigen führte der Beschwerdeführer im Rahmen des ersten Asylgesuchs anlässlich der MIDES Personalienaufnahme noch an, seine Eltern (mithin auch sein Vater) seien beide in F._______ gestorben (vgl. act. A10/7 S. 5).</w:t>
      </w:r>
    </w:p>
    <w:p>
      <w:r>
        <w:rPr>
          <w:b/>
        </w:rPr>
        <w:t>E. 6.3</w:t>
      </w:r>
    </w:p>
    <w:p>
      <w:r>
        <w:t>Demnach hat das SEM zu Recht die Flüchtlingseigenschaft des Beschwerdeführers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32 Abs. 1 der Asylverordnung 1 vom 11. August 1999 über Verfahrensfragen (AsylV 1, SR 142.311) wird die Wegweisung aus der Schweiz (unter anderem) nicht verfügt, wenn die asylsuchende Person von einer rechtskräftigen Landesverweisung nach Art. 66a oder 66abis des Strafgesetzbuchs betroffen ist (vgl. zum Ganzen: Botschaft zur Änderung des Strafgesetzbuchs und des Militärstrafgesetzes [Umsetzung von Art. 121 Abs. 3-6 BV über die Ausschaffung krimineller Ausländerinnen und Ausländer] vom 26. Juni 2013, BBl 2013 6006 ff.).</w:t>
      </w:r>
    </w:p>
    <w:p>
      <w:r>
        <w:rPr>
          <w:b/>
        </w:rPr>
        <w:t>E. 8.1</w:t>
      </w:r>
    </w:p>
    <w:p>
      <w:r>
        <w:t>Mit in Rechtskraft erwachsenem Urteil des (Nennung Institution) vom (...) wurde gegen den Beschwerdeführer gestützt auf Art. 66a Abs. 1 Bst. b StGB eine obligatorische Landesverweisung von (Nennung Dauer) ausgesprochen. Dabei wurde vom (Nennung Institution) das allfällige Vorliegen eines schweren persönlichen Härtefalls oder die einer Landesverweisung allenfalls gegenüberstehenden privaten Interessen des Beschwerdeführers am Verbleib in der Schweiz berücksichtigt und verneint respektive nicht als überwiegend erachtet, ansonsten es von einer Landesverweisung abgesehen hätte (vgl. Art. 66a Abs. 2 StGB). Das SEM hat demnach in korrekter Weise auf die Anordnung der Wegweisung und die Prüfung von allenfalls bestehenden Vollzugshindernissen verzichtet. Nachdem es die Flüchtlingseigenschaft des Beschwerdeführers zu Recht verneint hat (vgl. E. 6.), ist die kantonale (Vollzugs-)Behörde für den Entscheid zuständig, ob der Vollzug der Landesverweisung anderen zwingenden Bestimmungen des Völkerrechts entgegensteht (vgl. Art. 66d StGB). Sie kann diesbezüglich beim SEM eine Stellungnahme zu allfälligen Vollzugshindernissen einholen (vgl. Art. 32 Abs. 2 AsylV 1).</w:t>
      </w:r>
    </w:p>
    <w:p>
      <w:r>
        <w:rPr>
          <w:b/>
        </w:rPr>
        <w:t>E. 8.2</w:t>
      </w:r>
    </w:p>
    <w:p>
      <w:r>
        <w:t>Demensprechend entfällt auch für das Bundesverwaltungsgericht infolge Unzuständigkeit eine entsprechende Überprüfung. Auf den Eventualantrag, es sei wegen Unzulässigkeit respektive Unzumutbarkeit des Wegweisungsvollzugs die vorläufige Aufnahme anzuordnen, ist daher nicht einzutreten.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Eine Partei, die nicht über die erforderlichen Mittel verfügt, wird auf Antrag hin von der Bezahlung der Verfahrenskosten befreit, sofern ihr Begehren nicht aussichtslos erscheint (Art. 65 Abs. 1 VwVG). Dabei verfügt sie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139 III 475). Für die Beurteilung der Prozesschancen ist eine summarische Prüfung vorzunehmen. In casu ist der Beschwerdeführer als bedürftig zu erachten. Gleichzeitig müssen die Beschwerdebegehren im Zeitpunkt der Einreichung als nicht aussichtslos bezeichnet werden. Demnach ist das Gesuch um Gewährung der unentgeltlichen Prozessführung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