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D-5687/2011 vom 6. Dezember 2011</w:t>
      </w:r>
    </w:p>
    <w:p>
      <w:r>
        <w:t>Bundesverwaltungsgericht, 2011-12-06, DE</w:t>
      </w:r>
    </w:p>
    <w:p>
      <w:r>
        <w:rPr>
          <w:b/>
        </w:rPr>
        <w:t xml:space="preserve">Quelle: </w:t>
      </w:r>
      <w:r>
        <w:t>https://mcp.opencaselaw.ch/entscheid/bvger_D-5687_2011</w:t>
      </w:r>
    </w:p>
    <w:p>
      <w:r>
        <w:t>FR: TAF D-5687/2011 du 6 décembre 2011</w:t>
      </w:r>
    </w:p>
    <w:p>
      <w:r>
        <w:t>IT: TAF D-5687/2011 del 6 dicembre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Darunter fallen auch Verfügungen, mit denen das BFM (vgl. Art. 33 Bst. d VGG) ein Gesuch um Wiedererwägung eines rechtskräftigen Entscheides betreffend den Vollzug einer nach Verweigerung des Asyls angeordneten Wegweisung abgewiesen hat.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Auf ein Wiedererwägungsgesuch ist hingegen gar nicht erst einzutreten, wenn zu dessen Begründung lediglich unsubstanziierte Behauptungen auf­gestellt werden und aus der Rechtsschrift die tatsächlichen An­haltspunkte, die auf das Vorliegen eines Wiedererwägungsgrundes hin­deuten sollen, nicht ersichtlich sind (zum Ganzen vgl. EMARK 2005 Nr. 25 E. 4.2. S. 227 f., EMARK 2003 Nr. 17 E. 2a S. 103 f. mit weiteren Hinweisen, EMARK 2001 Nr. 20 E. 3c.dd S. 156),</w:t>
      </w:r>
    </w:p>
    <w:p>
      <w:r>
        <w:rPr>
          <w:b/>
        </w:rPr>
        <w:t>E. 4.2</w:t>
      </w:r>
    </w:p>
    <w:p>
      <w:r>
        <w:t>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Zumutbarkeit beziehungsweise Zulässigkeit des Wegweisungsvollzugs Gegenstand der vorliegenden Prüfung.</w:t>
      </w:r>
    </w:p>
    <w:p>
      <w:r>
        <w:rPr>
          <w:b/>
        </w:rPr>
        <w:t>E. 5.1</w:t>
      </w:r>
    </w:p>
    <w:p>
      <w:r>
        <w:t>Zur Begründung ihrer Beschwerde machen die Beschwerdeführenden im Wesentlichen geltend, der Feststellung der schweizerischen Behörden, wonach die Rechte der Minderheiten seit der Unabhängigkeitserklärung des Kosovo durch die Verfassung garantiert und die Behörden fähig sowie willens seien, die Minderheitenangehörigen zu schützen, müsse mit aller Deutlichkeit widersprochen werden, da Gorani in allen Bereichen des Soziallebens diskriminiert und Nachteilen ausgesetzt seien und sich die Situation im Kosovo verschärft habe. Zudem hätten die Beschwerdeführenden im Kosovo keine Überlebensperspektiven, weil sie eine psychiatrische Behandlung benötigten, die nicht erhältlich sei, keine Unterkunft hätten und für die Kinder keine angstfreie Umgebung vorhanden sei.</w:t>
      </w:r>
    </w:p>
    <w:p>
      <w:r>
        <w:rPr>
          <w:b/>
        </w:rPr>
        <w:t>E. 5.2</w:t>
      </w:r>
    </w:p>
    <w:p>
      <w:r>
        <w:t>Nach eingehender Prüfung der Akten kommt das Bundesverwaltungsgericht zum Schluss, dass die Vorinstanz das Wiedererwägungsgesuch zu Recht abgewiesen hat.</w:t>
      </w:r>
    </w:p>
    <w:p>
      <w:r>
        <w:rPr>
          <w:b/>
        </w:rPr>
        <w:t>E. 5.3</w:t>
      </w:r>
    </w:p>
    <w:p>
      <w:r>
        <w:t>Medizinische Aspekte führen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(vgl. die nach wie vor zutreffende Rechtsprechung der ARK in EMARK 2003 Nr. 24 E. 5b, bestätigt im Urteil des Bundesverwaltungs­gerichts E-4200/2006 vom 18. September 2007), verfügbar sein. Dem­gegenüber liegt noch keine Unzumutbarkeit vor, wenn im Heimatstaat eine dem schweizerischen Standard nicht ent­sprechende medizinische Behandlung zur Verfügung steht.</w:t>
      </w:r>
    </w:p>
    <w:p>
      <w:r>
        <w:rPr>
          <w:b/>
        </w:rPr>
        <w:t>E. 5.4</w:t>
      </w:r>
    </w:p>
    <w:p>
      <w:r>
        <w:t>Vorliegend geht das BFM in der angefochtenen Verfügung vom Bestehen einer adäquaten Behandlung der Beschwerdeführerin in ih­rem Heimatland aus und auch das Bundesverwaltungsgericht hielt in seinem Urteil vom 23. Februar 2011 fest, die Beschwerdeführerin könne sich in ihrem Heimatland medizinisch behandeln lassen. An diesen Einschätzungen hat sich trotz Einreichung von ärztlichen Berichten bis heute nichts geändert, wie auch in der Zwischenverfügung des Bundesverwaltungsgerichts vom 19. Oktober 2011 festgehalten wurde. Somit stehen im Fall einer Rückkehr der Beschwerdeführerin in ihr Heimatland die zur Behandlung ihrer gesundheitlichen Beschwerden benötigten Ärzte, Institutionen und Medikamente zur Verfügung, auch wenn das allgemeine Niveau im Gesundheitswesen im Kosovo nicht demjenigen von Westeuropa und insbesondere der Schweiz entsprechen mag. Dies ist indessen praxisgemäss kein Grund, die Behandlung notwendigerweise in der Schweiz durchführen zu lassen. Die im Wiedererwägungsverfahren vorgebrachten gegenteiligen Behauptungen entbehren jeglicher glaubhafter Grundlage. Insbesondere vermögen die zu den Akten gereichten Dokumente über die Situation der Gorani im Kosovo beziehungsweise über die Lage im Kosovo nicht zu einer andern Einschätzung zu führen, da sie weder unterzeichnet noch datiert sind und auf jedem Computer auch selbst hätten hergestellt werden können, weshalb ihr Beweiswert als äusserst gering zu qualifizieren ist. Die Haltlosigkeit der Vorbringen kann folglich mit diesen Beweismitteln nicht umgestossen werden.</w:t>
      </w:r>
    </w:p>
    <w:p>
      <w:r>
        <w:rPr>
          <w:b/>
        </w:rPr>
        <w:t>E. 5.5</w:t>
      </w:r>
    </w:p>
    <w:p>
      <w:r>
        <w:t>Auch hinsichtlich der vom Beschwerdeführer geltend gemachten psychischen Problemen ist von der Möglichkeit einer Behandlung im Heimatland auszugehen. Zudem wurden die entsprechenden Vorbringen nicht belegt, weshalb auch Zweifel an deren Wahrheitsgehalt angebracht sind.</w:t>
      </w:r>
    </w:p>
    <w:p>
      <w:r>
        <w:rPr>
          <w:b/>
        </w:rPr>
        <w:t>E. 5.6</w:t>
      </w:r>
    </w:p>
    <w:p>
      <w:r>
        <w:t>Ebenso wenig vermag die Tatsache, dass die Beschwerdeführer nun noch ein weiteres Kind haben, den Wegweisungsvollzug als unzumutbar oder unzulässig erscheinen. Diesbezüglich ist ebenfalls auf das Urteil des Bundesverwaltungsgericht vom 23. Februar 2011 und die Zwischenverfügung vom 19. Oktober 2011 zu verweisen, um unnötige Wiederholungen zu vermeiden.</w:t>
      </w:r>
    </w:p>
    <w:p>
      <w:r>
        <w:rPr>
          <w:b/>
        </w:rPr>
        <w:t>E. 5.7</w:t>
      </w:r>
    </w:p>
    <w:p>
      <w:r>
        <w:t>Ferner ist nochmals festzuhalten, dass sich das Bundesverwaltungsgericht in seinem Urteil vom 23. Februar 2011 bereits zum Wegweisungsvollzug geäussert hat und in der Zwischenzeit - ausser der Geburt eines weiteren Kindes und der Behauptung, auch der Beschwerdeführer benötige psychiatrische Behandlung - keine veränderte Situation geltend gemacht wurde. Die Behauptung, die Situation im Kosovo habe sich für Angehörige der Gorani beziehungsweise von Minderheiten verschlechtert, entspricht nicht den Tatsachen, auch wenn nicht in Abrede gestellt wird, dass Minderheiten im Kosovo mit gewissen Konflikten konfrontiert werden können. Indessen hat sich das Bundesverwaltungsgericht in seinem Urteil vom 23. Februar 2011 dazu bereits geäussert und den Wegweisungsvollzug trotzdem als zulässig und zumutbar betrachtet. Es ist somit auf die im erwähnten Urteil festgestellten Erwägungen zu verweisen. Der Einwand im Wiedererwägungsverfahren, der Einschätzung der schweizerischen Behörden betreffend Situation von Minderheiten im Kosovo sei zu widersprechen, stellt Urteilskritik dar und kann nicht gehört werden. Im Übrigen kann die Behauptung der Beschwerdeführenden, sie hätten keine Unterkunftsmöglichkeit, mangels Substanz nicht geglaubt werden.</w:t>
      </w:r>
    </w:p>
    <w:p>
      <w:r>
        <w:rPr>
          <w:b/>
        </w:rPr>
        <w:t>E. 6</w:t>
      </w:r>
    </w:p>
    <w:p>
      <w:r>
        <w:t>Zusammenfassend ist festzuhalten, dass es den Beschwerdeführenden nicht gelungen ist, eine wiedererwägungsweise relevante, veränderte Sachlage darzutun. Gestützt auf die vorangehenden Erwägungen lie­gen keine Gründe vor, die den Wegweisungsvollzug als unzumutbar erscheinen lassen. Im Übrigen ist festzuhalten, dass ein Wiedererwägungsgesuch nicht dazu dienen darf, die Verbindlichkeit eines (rechtskräftigen) Verwaltungsentscheides fortlaufend in Frage zu stellen (vgl. dazu die weiterhin zutreffende Praxis unter EMARK 2003 Nr. 17 E. 2b S. 104). Appellatorische Kritik an Urteilen des Bundesverwaltungsgerichts ist folglich einem Wiedererwägungsverfahren nicht zugänglich.</w:t>
      </w:r>
    </w:p>
    <w:p>
      <w:r>
        <w:rPr>
          <w:b/>
        </w:rPr>
        <w:t>E. 7</w:t>
      </w:r>
    </w:p>
    <w:p>
      <w:r>
        <w:t>Somit ergibt sich, dass die angefochtene Verfügung Bundesrecht nicht verletzt, den rechtserheblichen Sachverhalt richtig und vollstän­dig feststellt und angemessen ist (Art. 106 AsylG). Die Beschwerde ist nach dem Gesagten abzuweisen und die Verfügung der Vorinstanz zu bestätigen. An dieser Einschätzung vermögen die eingereichten Beweismittel nichts zu ändern.</w:t>
      </w:r>
    </w:p>
    <w:p>
      <w:r>
        <w:rPr>
          <w:b/>
        </w:rPr>
        <w:t>E. 8</w:t>
      </w:r>
    </w:p>
    <w:p>
      <w:r>
        <w:t>Bei diesem Ausgang des Verfahrens sind die Kosten des Verfahrens in der Höhe von Fr. 1'200.-- (Art. 1-3 des Reglements vom 21. Februar 2008 über die Kosten und Entschädigungen vor dem Bundesverwal­tungs-gericht [VGKE, SR 173.320.2]) auch im Hinblick auf die mit den Zwi­schenverfügungen vom 8. Juni 2011 und vom 21. Juni 2011 festgestellte Aussichtslosigkeit der Beschwerdebegehren den Beschwerdeführenden aufzuerlegen (Art. 63 Abs. 1 VwVG) und mit dem am 18. November 2011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