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D-5684/2007 vom 26. Oktober 2007</w:t>
      </w:r>
    </w:p>
    <w:p>
      <w:r>
        <w:t>Bundesverwaltungsgericht, 2007-10-26, DE</w:t>
      </w:r>
    </w:p>
    <w:p>
      <w:r>
        <w:rPr>
          <w:b/>
        </w:rPr>
        <w:t xml:space="preserve">Quelle: </w:t>
      </w:r>
      <w:r>
        <w:t>https://mcp.opencaselaw.ch/entscheid/bvger_D-5684_2007</w:t>
      </w:r>
    </w:p>
    <w:p>
      <w:r>
        <w:t>FR: TAF D-5684/2007 du 26 octobre 2007</w:t>
      </w:r>
    </w:p>
    <w:p>
      <w:r>
        <w:t>IT: TAF D-5684/2007 del 26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In der Beschwerde wird geltend gemacht, es stelle sich die Frage, ob sich aus den beiden nicht edierten Aktenstücken (A12/9 und A13/12) substanziierte Hinweise auf konkrete kriminelle Handlungen des Beschwerdeführers ergäben, die dieser in den Reihen der LTTE begangen habe. Um Einblick in allfällige Hintergründe des unbelegten Vorwurfs zu erhalten, sei die vollständige oder teilweise Einsicht in die fedpol-Berichte beantragt worden. Da diese Einsicht verweigert worden sei, sei es nicht möglich, in der Beschwerde zu allfälligen Vorwürfen Stellung zu nehmen. Falls es überhaupt Hinweise auf eine allfällige Asylunwürdigkeit geben sollte, wären diese ohne Zweifel den fedpol-Berichten zu entnehmen. Das BFM habe das rechtliche Gehör zur Stellungnahme im zentralen Punkt der Fragestellung vereitelt und Art. 27 VwVG, welcher verfassungskonform im Sinne von Art. 29. Abs. 2 der Schweizerischen Bundesverfassung vom 18. April 1999 (BV, SR 101) auszulegen sei, verletzt. Dem Beschwerdeführer hätte zumindest eine abgedeckte Version der Berichte oder eine Zusammenfassung der Dokumente zugänglich gemacht werden müssen, damit er zum Vorwurf der Asylunwürdigkeit hätte Stellung nehmen können. Die Verletzung des rechtlichen Gehörs rechtfertige eine nachträgliche Bekanntgabe des Inhalts der beiden Dokumente. Falls es nicht möglich sei, den Inhalt der Dokumente offen zu legen, seien diese aus den Akten zu weisen und der Entscheid sei gestützt auf die offen gelegten Akten zu fällen und einzig mit diesen zu begründen. In diesen fehle jeglicher hinreichend konkrete Hinweis auf eine persönliche Beteiligung des Beschwerdeführers an Kriegsverbrechen.</w:t>
      </w:r>
    </w:p>
    <w:p>
      <w:r>
        <w:rPr>
          <w:b/>
        </w:rPr>
        <w:t>E. 4.1</w:t>
      </w:r>
    </w:p>
    <w:p>
      <w:r>
        <w:t>Gestützt auf Art. 26 Abs. 1 Bst. b VwVG hat die Partei oder ihr Vertreter Anspruch darauf, in alle als Beweismittel dienenden Aktenstücke Einsicht zu nehmen. Die Behörde darf die Einsichtnahme in die Akten verweigern, wenn wesentliche öffentliche Interessen des Bundes oder der Kantone, insbesondere die innere oder äussere Sicherheit der Eidgenossenschaft, die Geheimhaltung erfordern (vgl. Art. 27 Abs. 1 Bst. a VwVG). Wird der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4.2</w:t>
      </w:r>
    </w:p>
    <w:p>
      <w:r>
        <w:t>Die asylsuchende Person hat Anspruch auf Einsicht in alle Aktenstücke, die grundsätzlich geeignet sind, im Verfahren als Beweismittel zu dienen. Es steht mithin nicht im Belieben der verfügenden Behörde, bestimmte Dokumente dem Akteneinsichtsrecht zu entziehen, indem sie sich in ihrem Entscheid nicht ausdrücklich auf diese stützt. Ausgenommen vom Recht auf Akteneinsicht sind allein Unterlagen, welche von der verfügenden Behörde ausschliesslich für den Eigengebrauch bestimmt sind, wie Entscheidentwürfe oder Notizen zuhanden einer Person innerhalb der Behörde (vgl. Entscheidungen und Mitteilungen der Schweizerischen Asylrekurskommission [EMARK] 1994 Nr. 1 E. 3a S. 8 f.).</w:t>
      </w:r>
    </w:p>
    <w:p>
      <w:r>
        <w:rPr>
          <w:b/>
        </w:rPr>
        <w:t>E. 4.3</w:t>
      </w:r>
    </w:p>
    <w:p>
      <w:r>
        <w:t>Das Bundesamt stellt sich in seinem Schreiben vom 14. August 2007 zu Recht nicht auf den Standpunkt, bei den beiden Stellungnahmen des fedpol vom 7. Juni 2007 und 17. Juli 2007 handle es sich um interne Akten, sondern begründet deren Nichtedition mit überwiegenden öffentlichen Interessen gemäss Art. 27 VwVG. In der Beschwerde wird nicht bestritten, dass eine teilweise Verweigerung der Akteneinsicht in die beiden Stellungnahmen zulässig sein könnte, eine vollständige Verweigerung der Einsichtnahme jedoch als unverhältnismässig erachtet. Das BFM bezeichnet die von ihm geltend gemachten überwiegenden öffentlichen Interessen, die die vollständige Verwehrung der Einsichtnahme in die beiden Stellungnahmen des fedpol rechtfertigen sollen, in seinem Schreiben an den Rechtsvertreter vom 14. August 2007 nicht näher. Trotz eines entsprechenden Hinweises in der Zwischenverfügung des Bundesverwaltungsgerichts vom 4. September 2007 unterlässt es das BFM auch in seiner Vernehmlassung, sich in diesem Zusammenhang zu äussern. Somit wurde dem Beschwerdeführer die Einsicht in die Aktenstücke A12/9 und A13/12 vollständig verwehrt, ohne dass das BFM hinreichend konkret begründet hätte, inwiefern ein überwiegendes öffentliches Interesse vorliegen soll, welches die Einsicht in die Stellungnahmen des fedpol rechtfertigen könnte. Gleichzeitig ist aus den Akten ohne weiteres ersichtlich, dass sich das BFM bei der Entscheidfindung namentlich durch den Inhalt der Stellungnahme des fedpol vom 7. Juni 2007 massgeblich hat leiten lassen, allerdings ohne dem Beschwerdeführer vor Erlass der Verfügung den wesentlichen Inhalt der Stellungnahme des fedpol zur Kenntnis zu bringen und ihm Gelegenheit zur Stellungnahme zu geben (vgl. Art. 28 VwVG). Das Bundesamt hat damit das Recht des Beschwerdeführers auf Akteneinsicht und rechtliches Gehör verletzt.</w:t>
      </w:r>
    </w:p>
    <w:p>
      <w:r>
        <w:rPr>
          <w:b/>
        </w:rPr>
        <w:t>E. 4.4</w:t>
      </w:r>
    </w:p>
    <w:p>
      <w:r>
        <w:t>Eine Verletzung des Anspruchs auf rechtliches Gehör führt in der Regel zur Aufhebung des angefochtenen Hoheitsakts ohne Rücksicht darauf, ob Letzterer bei korrekter Gewährung des rechtlichen Gehörs anders ausgefallen wäre, zumal eine solche Betrachtungsweise dem formellen Charakter des Gehörsanspruchs widerspräche (vgl. u.a. EMARK 1999 Nr. 20 E. 3a S. 131 und 1998 Nr. 34 E. 10d S. 292). Eine Heilung der Gehörsverletzung aus prozessökonomischen Gründen fällt vorliegend schon deshalb nicht in Betracht, weil es das Bundesamt auch im Rahmen des Vernehmlassungsverfahrens unterlassen hat, die vollständige Verweigerung des Einsichtsrechts in die beiden Stellungnahmen des fedpol zu begründen und gleichzeitig deren Wesentlichen Inhalt zu bezeichnen. Die Gehörsverletzung beruht insofern nicht auf einem Versehen des BFM, sondern wird von diesem offenbar in Kauf genommen. Der Sinn der Heilung von Gehörsverletzungen durch die Beschwerdeinstanz besteht jedoch nicht darin, vermeidbare Versäumnisse des Bundesamtes auf Beschwerdeebene zu beheben und damit die Vorinstanz gleichsam von einer sorgfältigen Verfahrensführung zu entbinden.</w:t>
      </w:r>
    </w:p>
    <w:p>
      <w:r>
        <w:rPr>
          <w:b/>
        </w:rPr>
        <w:t>E. 4.5</w:t>
      </w:r>
    </w:p>
    <w:p>
      <w:r>
        <w:t>Zusammenfassend ergibt sich, dass die angefochtene Verfügung vom 24. Juli 2007 das Akteneinsichtsrecht und das rechtliche Gehör des Beschwerdeführers und somit Bundesrecht verletzt. Die Beschwerde ist somit hinsichtlich des Hauptbegehrens gutzuheissen, die Ziffern 2-6 des Dispositivs der angefochtenen Verfügung aufzuheben und die Sache zur Neubeurteilung an das BFM zurückzuweisen. Dieses ist anzuweisen, dem Beschwerdeführer nach Massgabe von Art. 26 ff. VwVG in geeigneter Weise Einsicht in die beiden Stellungnahmen des fedpol vom 7. Juni und 17. Juli 2007 zu geben und ihm die Möglichkeit zur Äusserung und Bezeichnung von Gegenbeweismitteln einzuräumen (vgl. Art. 61 Abs. 1 VwVG).</w:t>
      </w:r>
    </w:p>
    <w:p>
      <w:r>
        <w:rPr>
          <w:b/>
        </w:rPr>
        <w:t>E. 5.1</w:t>
      </w:r>
    </w:p>
    <w:p>
      <w:r>
        <w:t>Bei diesem Ausgang des Verfahrens sind keine Kosten aufzuerlegen (vgl. Art. 63 Abs. 1 und 2 VwVG).</w:t>
      </w:r>
    </w:p>
    <w:p>
      <w:r>
        <w:rPr>
          <w:b/>
        </w:rPr>
        <w:t>E. 5.2</w:t>
      </w:r>
    </w:p>
    <w:p>
      <w:r>
        <w:t>Obsiegende Parteien haben Anspruch auf eine Parteientschädigung für die ihnen erwachsenen notwendigen Kosten (Art. 7 Abs. 1 des Reglements vom 11. Dezember 2006 über die Kosten und Entschädigungen vor dem Bundesverwaltungsgericht [VGKE, SR 173.320.2]). Der Rechtsvertreter reichte am 3. Oktober 2007 eine Kostennote ein. Der darin ausgewiesene Aufwand von 8,5 Stunden à Fr. 200.-- und die Spesen von Fr. 60.80 erscheinen als angemessen. Das BFM ist folglich anzuweisen, dem Beschwerdeführer für das Verfahren vor dem Bundesverwaltungsgericht eine Parteientschädigung von Fr. 1'894.60 (inkl.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