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D-567/2015 vom 4. November 2015</w:t>
      </w:r>
    </w:p>
    <w:p>
      <w:r>
        <w:t>Bundesverwaltungsgericht, 2015-11-04, DE</w:t>
      </w:r>
    </w:p>
    <w:p>
      <w:r>
        <w:rPr>
          <w:b/>
        </w:rPr>
        <w:t xml:space="preserve">Quelle: </w:t>
      </w:r>
      <w:r>
        <w:t>https://mcp.opencaselaw.ch/entscheid/bvger_D-567_2015</w:t>
      </w:r>
    </w:p>
    <w:p>
      <w:r>
        <w:t>FR: TAF D-567/2015 du 4 novembre 2015</w:t>
      </w:r>
    </w:p>
    <w:p>
      <w:r>
        <w:t>IT: TAF D-567/2015 del 4 novembre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der Vorinstanz,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Gesuchstellenden zur Beschwerdeführung legitimiert (vgl. BVGE 2014/1 E. 1.3.2). Auf die frist- und formgerecht eingereichte Beschwerde ist einzutreten (Art. 50 und 52 VwVG).</w:t>
      </w:r>
    </w:p>
    <w:p>
      <w:r>
        <w:rPr>
          <w:b/>
        </w:rPr>
        <w:t>E. 1.4</w:t>
      </w:r>
    </w:p>
    <w:p>
      <w:r>
        <w:t>Nachdem der Beschwerdeführer dem Bundesverwaltungsgericht mit Eingabe vom 22. April 2015 mitteilte, dass die Gesuchstellerin B._______ am 16. April 2015 verstorben sei, ist die Beschwerde sie betreffend infolge Gegenstandslosigkeit abzuschreiben.</w:t>
      </w:r>
    </w:p>
    <w:p>
      <w:r>
        <w:rPr>
          <w:b/>
        </w:rPr>
        <w:t>E. 2</w:t>
      </w:r>
    </w:p>
    <w:p>
      <w:r>
        <w:t>Die Kognition des Bundesverwaltungsgerichts und die zulässigen Rügen richten sich vorliegend nach Art. 49 VwVG (vgl. BVGE 2015/5 E. 2).</w:t>
      </w:r>
    </w:p>
    <w:p>
      <w:r>
        <w:rPr>
          <w:b/>
        </w:rPr>
        <w:t>E. 3.1</w:t>
      </w:r>
    </w:p>
    <w:p>
      <w:r>
        <w:t>Vorab werden in der Beschwerde formelle Rügen erhoben. Die Vor­instanz habe es versäumt, das Gesuch umfassend zu prüfen.</w:t>
      </w:r>
    </w:p>
    <w:p>
      <w:r>
        <w:rPr>
          <w:b/>
        </w:rPr>
        <w:t>E. 3.2</w:t>
      </w:r>
    </w:p>
    <w:p>
      <w:r>
        <w:t>Gemäss der im Verwaltungsverfahren geltenden Untersuchungsma­xime hat die Behörde den rechtserheblichen Sachverhalt von Amtes wegen festzustellen (Art. 12 VwVG). Dieser allgemeine Grundsatz wird relativiert durch die Mitwirkungspflicht der Parteien, welche namentlich insoweit greift, als eine Partei das Verfahren durch eigenes Begehren einge­leitet hat oder selbstständige Begehren stellt (Art. 13 Abs. 1 Bst. a und b VwVG).</w:t>
      </w:r>
    </w:p>
    <w:p>
      <w:r>
        <w:rPr>
          <w:b/>
        </w:rPr>
        <w:t>E. 3.3</w:t>
      </w:r>
    </w:p>
    <w:p>
      <w:r>
        <w:t>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BVGE 2008/47 E. 3.2 mit Hinweisen).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Entscheidungen und Mitteilungen der Schweizerischen Asylrekurskommission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Diesen Anforderungen hat die Vorinstanz mit den ausführlichen Erwägungen im angefochtenen Entscheid Genüge getan. Im angefochtenen Entscheid wurde nicht nur das politische Engagement des Vaters und Ehemannes der Gesuchstellenden thematisiert, sondern auch die Lage der syrischen Flüchtlinge in der Türkei, sowie deren Zugang zum türkischen Gesundheitswesen. Der Umstand, dass die Vorinstanz letztlich eine andere Schlussfolgerung zog als die Gesuchstellenden, stellt keine Verletzung des rechtlichen Gehörs dar, weshalb die entsprechende Rüge nicht gehört werden kann.</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4.2</w:t>
      </w:r>
    </w:p>
    <w:p>
      <w:r>
        <w:t>Dem angefochtenen Einspracheentscheid liegen die Gesuche von syrischen Staatsangehörigen um Erteilung von humanitären Visa zugrunde. Die im AuG und seinen Ausführungsbestimmungen enthaltenen Regelungen über das Visumsverfahren und über die Ein- und Ausreise gelangen nur soweit zur Anwendung, als die Schengen-Assoziierungsabkommen keine abweichenden Bestimmungen enthalten (Art. 2 Abs. 2-5 AuG).</w:t>
      </w:r>
    </w:p>
    <w:p>
      <w:r>
        <w:rPr>
          <w:b/>
        </w:rPr>
        <w:t>E. 4.3</w:t>
      </w:r>
    </w:p>
    <w:p>
      <w:r>
        <w:t>Angehörige von Staaten, die nicht Teil des Schengen-Raumes sind (sog. Drittstaaten), dürfen über die Aussengrenzen des Schengen-Raums für einen Aufenthalt von höchstens drei Monaten je Sechsmonatszeitraums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SGK, ABl. L 105 vom 13. April 2006, S. 1-32 [geändert durch Art. 2 der Verordnung {EU} Nr. 265/2010 vom 25. März 2010, ABl. L 85 vom 31. März 2010, S. 1-4], Art. 14 Abs. 1 Bst. a-c und Art. 21 Abs. 1 Visakodex).</w:t>
      </w:r>
    </w:p>
    <w:p>
      <w:r>
        <w:rPr>
          <w:b/>
        </w:rPr>
        <w:t>E. 4.4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5</w:t>
      </w:r>
    </w:p>
    <w:p>
      <w:r>
        <w:t>Die Gesuchstellenden unterliegen als syrische Staatsangehörige ge­mäss Art. 1 Abs. 1 VO Nr. 539/2001 i.V.m. Anhang I einer Visumspflicht für den Schengen-Raum. Im Beschwerdeverfahren wird nicht bestritten, dass die bereits in der angefochtenen Verfügung geprüften Voraussetzungen für die Erteilung eines solchen Schengen-Visums vorliegend nicht erfüllt sind, sondern beantragt, den Gesuchstellenden sei ein Visum aus humanitären Gründen zu erteilen. Da nicht davon ausgegangen werden kann, dass die Gesuchstellenden nach Ablauf des Visums fristgerecht wieder aus dem Schengen-Raum ausreisen würden, fällt die Erteilung eines Visums mit Gültigkeit für den gesamten Schengen-Raum nicht in Betracht. Es bleibt somit nachfolgend einzig zu prüfen, ob das SEM auch die Erteilung eines Einreisevisums aus humanitären Gründen zu Recht verweigert hat.</w:t>
      </w:r>
    </w:p>
    <w:p>
      <w:r>
        <w:rPr>
          <w:b/>
        </w:rPr>
        <w:t>E. 6.1</w:t>
      </w:r>
    </w:p>
    <w:p>
      <w:r>
        <w:t>Mit der dringlichen Änderung des Asylgesetzes vom 28. September 2012 (AS 2012 5359), welche am 29. September 2012 in Kraft trat, wurden unter anderem die Bestimmungen betreffend die Einreichung von Asylgesuchen aus dem Ausland aufgehoben. Da im Einzelfall jedoch nicht ausgeschlossen werden kann, dass Personen, welche Schutz vor asylrechtlich relevanter Verfolgung geltend machen, bei den schweizerischen Vertretungen vorsprechen und um die Einreise in die Schweiz ersuchen, wurde die Möglichkeit geschaffen, aus humanitären Gründen und mit Zustimmung des BFM (heute: SEM)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6.2</w:t>
      </w:r>
    </w:p>
    <w:p>
      <w:r>
        <w:t>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per 29. September 2012 aufgehobenen Auslandgesuchen, bei denen Einreisebewilligungen nur sehr zurückhaltend erteilt wurden beziehungsweise werden (vgl. Botschaft des Bundesrates vom 26. Mai 2010 zur Änderung des Asylgesetzes, BBl 2010 4455, insbesondere 4467 f., 4471 f. und 4490 f.; Weisung Nr. 322.126 des BFM vom 25. Februar 2014 betreffend Visumantrag aus humanitären Gründen [zu finden auf der Internetseite der Vorinstanz]; Urteile des Bundesverwaltungsgerichts D-4783/2011 vom 29. Mai 2013 E. 3.2, D-5298/2013 vom 27. November 2013 E. 4.2, D-2177/2014 vom 5. Juni 2014 E. 5.2).</w:t>
      </w:r>
    </w:p>
    <w:p>
      <w:r>
        <w:rPr>
          <w:b/>
        </w:rPr>
        <w:t>E. 6.3</w:t>
      </w:r>
    </w:p>
    <w:p>
      <w:r>
        <w:t>Das Bundesverwaltungsgericht kommt nach einer eingehenden Prüfung der Akten in Übereinstimmung mit dem SEM zum Schluss, dass vorliegend die Voraussetzungen für die Erteilung eines humanitären Visums nicht erfüllt sind. Um Wiederholungen zu vermeiden, kann vollumfänglich auf die zutreffenden Ausführungen im angefochtenen Einspracheentscheid verwiesen werden. Das SEM ging zu Recht davon aus, dass die Gesuchstellenden in der Türkei, wo sie sich damals, aufhielten Schutz vor Verfolgung gefunden haben, da sie dort nicht mit Verfolgung zu rechnen haben. Vor diesem Hintergrund ist festzustellen, dass die Gesuchstellenden, falls sie sich tatsächlich im Irak aufhalten sollten, zuzumuten wäre, erneut den Schutz der Türkei in Anspruch zu nehmen, wie er ihnen bereits gewährt worden ist. In diesem Zusammenhang ist festzuhalten, dass die Zahl der syrischen Bürgerkriegsflüchtlinge in der Türkei gemäss jüngeren Berichten auf mittlerweile rund 1,5 Millionen Personen angestiegen ist. Während die türkische Regierung in der Grenzregion zu Syrien erfolgreich verschiedene Flüchtlingslager aufgebaut hat, welche gut ausgestattet seien, lebt die Mehrheit der syrischen Bürgerkriegsflüchtlinge nicht in solchen Lagern, sondern namentlich in grösseren Städten bis weit in den Westen der Türkei. Der Zugang zu angemessener Versorgung gestaltet sich für diese Flüchtlinge zum Teil deutlich schwieriger als in den vom türkischen Staat organisierten Flüchtlingslagern, zumal der Zugang zu Arbeit nicht gewährleistet ist (vgl. Urteil des Bundesverwaltungsgerichts D-4233/2014 vom 15. De­zem­ber 2014 E. 4.5 m.w.H.). Vor diesem Hintergrund ist nicht in Abrede zu stellen, dass sich die Lebensumstände in der Türkei für syrische Bürgerkriegsflüchtlinge äusserst schwierig darstellen. Alleine dieser Aspekt ist jedoch nicht ausschlaggebend. Als massgeblich erweist sich, dass vorliegend keine stichhaltigen Gründe ersichtlich sind, welche darauf hindeuten würden, die Gesuchstellenden seien in der Türkei unmittelbar, ernsthaft und konkret an Leib und Leben gefährdet, respektive sie befänden sich in einer besonderen Notlage, welche ein behördliches Eingreifen zwingend erforderlich erscheinen liesse. Die Vorinstanz hat diesbezüglich zu Recht festgehalten, dass weder die allgemeine Lage in der Türkei noch aus den Akten hervorgehende individuelle Gründe auf eine konkrete Gefährdung der Gesuchstellenden schliessen liessen. So bedauerlich auch der Tod der Gesuchstellerin B._______ ist, ist es nicht erwiesen, dass eine Einreise in die Schweiz den Todeseintritt hätte verhindern können.</w:t>
      </w:r>
    </w:p>
    <w:p>
      <w:r>
        <w:rPr>
          <w:b/>
        </w:rPr>
        <w:t>E. 6.4</w:t>
      </w:r>
    </w:p>
    <w:p>
      <w:r>
        <w:t>Der Beschwerdeführer teilte am 11. März 2015 mit, die Gesuchstellenden hätten sich in den Irak begeben, ohne eine dortige Gefährdung zu erwähnen. Damit ist davon auszugehen, dass die Gesuchstellenden im Irak keiner unmittelbaren Gefährdung ausgesetzt sind.</w:t>
      </w:r>
    </w:p>
    <w:p>
      <w:r>
        <w:rPr>
          <w:b/>
        </w:rPr>
        <w:t>E. 6.5</w:t>
      </w:r>
    </w:p>
    <w:p>
      <w:r>
        <w:t>Abschliessend bleibt festzuhalten, dass auch keine Anzeichen dafür vorliegen, dass die Gesuchstellenden in der Türkei beziehungsweise im Irak eine Ausschaffung nach Syrien zu befürchten haben.</w:t>
      </w:r>
    </w:p>
    <w:p>
      <w:r>
        <w:rPr>
          <w:b/>
        </w:rPr>
        <w:t>E. 7</w:t>
      </w:r>
    </w:p>
    <w:p>
      <w:r>
        <w:t>In Berücksichtigung aller Umstände steht fest, dass das SEM die Einsprache vom 29. Oktober 2014 zu Recht abgewiesen hat. Auf die weiteren Ausführungen in der Beschwerde sowie auf die eingereichten Beweismittel braucht nicht näher eingegangen zu werden, da dies keine andere Beurteilung bewirken würde.</w:t>
      </w:r>
    </w:p>
    <w:p>
      <w:r>
        <w:rPr>
          <w:b/>
        </w:rPr>
        <w:t>E. 8</w:t>
      </w:r>
    </w:p>
    <w:p>
      <w:r>
        <w:t>Der angefochtene Einspracheentscheid ist nach dem Gesagten im Lichte von Art. 49 VwVG nicht zu beanstanden. Die Beschwerde ist abzuweisen.</w:t>
      </w:r>
    </w:p>
    <w:p>
      <w:r>
        <w:rPr>
          <w:b/>
        </w:rPr>
        <w:t>E. 9</w:t>
      </w:r>
    </w:p>
    <w:p>
      <w:r>
        <w:t>Bei diesem Ausgang des Verfahrens sind die Kosten dem Beschwer­deführer aufzuerlegen (Art. 63 Abs. 1 VwVG) und auf insgesamt Fr. 800.- festzusetzen (Art. 1-3 des Reglements vom 21. Februar 2008 über die Kosten und Entschädigungen vor dem Bundesverwaltungsgericht [VGKE, SR 173.320.2]). Der am 19. Februar 2015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