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D-567/2007 vom 18. November 2010</w:t>
      </w:r>
    </w:p>
    <w:p>
      <w:r>
        <w:t>Bundesverwaltungsgericht, 2010-11-18, DE</w:t>
      </w:r>
    </w:p>
    <w:p>
      <w:r>
        <w:rPr>
          <w:b/>
        </w:rPr>
        <w:t xml:space="preserve">Quelle: </w:t>
      </w:r>
      <w:r>
        <w:t>https://mcp.opencaselaw.ch/entscheid/bvger_D-567_2007</w:t>
      </w:r>
    </w:p>
    <w:p>
      <w:r>
        <w:t>FR: TAF D-567/2007 du 18 novembre 2010</w:t>
      </w:r>
    </w:p>
    <w:p>
      <w:r>
        <w:t>IT: TAF D-567/2007 del 18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sind durch die angefochtenen Verfügungen besonders berührt und haben ein schutzwürdiges Interesse an deren Aufhebung beziehungsweise Änderung; sie sind daher zur Einreichung der Beschwerden legitimiert (Art. 105 AsylG i.V.m. Art. 37 VGG, Art. 48 Abs. 1 VwVG sowie Art. 50 und Art.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Verfahren der beschwerdeführenden Ehegatten wurden vom Bundesverwaltungsgericht zunächst getrennt geführt. Aufgrund der engen sachlichen und persönlichen Konnexität der beiden Verfahren rechtfertigt es sich, die beiden Verfahren zu vereinigen und in einem Urteil zu behandeln.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Die Flüchtlingseigenschaft gemäss dem vorstehend wiedergegebenen Art. 3 AsylG erfüllt eine asylsuchende Person entsprechend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machen nicht geltend, sie seien zufolge bereits erlittener Verfolgungshandlungen ausgereist. Zu prüfen bleibt somit, ob im Zeitpunkt der Ausreise begründete Furcht vor Verfolgung bestand beziehungsweise von den Beschwerdeführenden zumindest glaubhaft gemacht wurde.</w:t>
      </w:r>
    </w:p>
    <w:p>
      <w:r>
        <w:rPr>
          <w:b/>
        </w:rPr>
        <w:t>E. 5.2</w:t>
      </w:r>
    </w:p>
    <w:p>
      <w:r>
        <w:t>Gemäss konstanter Praxis der ARK, die vom Bundesverwaltungsgericht weiter geführt wird, liegt mit Bezug auf den Zeitpunkt der Ausreise eine begründete Furcht vor Verfolgung im Sinne von Art. 3 Abs. 1 AsylG vor, wenn konkreter Anlass zur Annahme besteht, Letztere hätte sich mit beachtlicher Wahrscheinlichkeit und in absehbarer Zeit verwirklicht.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statt vieler EMARK 2005 Nr. 21 E. 7.1. S. 193, mit weiteren Hinweisen).</w:t>
      </w:r>
    </w:p>
    <w:p>
      <w:r>
        <w:rPr>
          <w:b/>
        </w:rPr>
        <w:t>E. 5.3</w:t>
      </w:r>
    </w:p>
    <w:p>
      <w:r>
        <w:t>Das Bundesverwaltungsgericht kommt im Urteil vom 18. Novem-ber 2010 betreffend das Verfahren der Eltern und Grosseltern beziehungsweise Schwiegereltern der Beschwerdeführenden (D-566/2007) zum Schluss, eine konkrete Verfolgungsgefahr lasse sich weder aus der Aufdeckung von Unterschlagungen noch aus den regimekritischen Aktivitäten im Heimatland ableiten. Davon unabhängige, eigenständige Verfolgungsgründe machen beide Beschwerdeführenden keine geltend. Der Beschwerdeführer gab zudem an, er wäre im Heimatland geblieben, wenn die Beschwerdeführerin nicht ausgereist wäre (vgl. A 1/9 S. 5). Entsprechend kann für den Zeitpunkt der Ausreise - nachdem die angefochtenen Verfügungen nebst den Beschwerdeführenden auch deren Eltern beziehungsweise Schwiegereltern umfassen, alle Adressaten der Verfügungen von demselben Rechtsbeistand vertreten werden und um unnötige Wiederholungen zu vermeiden - auf das Urteil sowie die diesbezüglichen Erwägungen im Verfahren der Eltern beziehungsweise Schwiegereltern (D-566/2007) verwiesen und auf weitere Ausführungen im vorliegenden Verfahren verzichtet werden.</w:t>
      </w:r>
    </w:p>
    <w:p>
      <w:r>
        <w:rPr>
          <w:b/>
        </w:rPr>
        <w:t>E. 6</w:t>
      </w:r>
    </w:p>
    <w:p>
      <w:r>
        <w:t>Die Beschwerdeführenden bringen schliesslich vor, das Bundesamt habe ihre Flüchtlingseigenschaft zufolge Vorliegens subjektiver Nachfluchtgründe zu Unrecht verneint.</w:t>
      </w:r>
    </w:p>
    <w:p>
      <w:r>
        <w:rPr>
          <w:b/>
        </w:rPr>
        <w:t>E. 6.1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6.2</w:t>
      </w:r>
    </w:p>
    <w:p>
      <w:r>
        <w:t>Das Bundesamt stellt die exilpolitischen Aktivitäten, insbesondere des Beschwerdeführers, nicht in Abrede. Vielmehr hielt es in der angefochtenen Verfügung fest, der Beschwerdeführer sei seit September 2006 Mitglied der Demokratischen Vereinigung für Flüchtlinge (DVF) und habe an diversen Demonstrationen teilgenommen. Auf Beschwerdeebene (sowohl in der Beschwerdeschrift als auch in ihren zusätzlichen Eingaben) machen die Beschwerdeführenden weitere exilpolitische Aktivitäten geltend, insbesondere - betreffend den Beschwerdeführer - die Teilnahme an mehreren Demonstrationen sowie an monatlichen Treffen und Generalversammlungen der DVF. Der Beschwerdeführer reichte überdies einen Mitgliederausweis der DVF für das Jahr 2010 zu den Akten, während für die Beschwerdeführerin einzig für das Jahr 2007 eine Personalkarte der DVF vorliegt. Zur Stützung ihrer Vorbringen reichten die Beschwerdeführenden diverse weitere Beweismittel ein. Insofern besteht für das Bundesverwaltungsgericht kein Anlass, an ihrer Darstellung zu zweifeln.</w:t>
      </w:r>
    </w:p>
    <w:p>
      <w:r>
        <w:rPr>
          <w:b/>
        </w:rPr>
        <w:t>E. 6.3</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6.4</w:t>
      </w:r>
    </w:p>
    <w:p>
      <w:r>
        <w:t>Im konkreten Fall geht das Gericht nach einer Auswertung des eingereichten Beweismaterials unter Mitberücksichtigung der übrigen Akten davon aus, dass insgesamt keine subjektiven Nachfluchtgründe bestehen, die bei einer Rückkehr der Beschwerdeführenden in den Iran zu einer für die Flüchtlingseigenschaft relevanten Verfolgung führen würden. Dieser Einschätzung liegt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Mullah-Regimes wird. Ein dermassen erhöhter Exponierungsgrad kann den Beschwerdeführenden unter Berücksichtigung der von ihnen in der Schweiz bis zuletzt ausgeübten exilpolitischen Aktivitäten nicht beigemessen werden. Eine konkrete Gefährdung der Beschwerdeführenden bei einer Rückkehr in den Iran ist deshalb mit überwiegender Wahrscheinlichkeit auszuschliessen.</w:t>
      </w:r>
    </w:p>
    <w:p>
      <w:r>
        <w:rPr>
          <w:b/>
        </w:rPr>
        <w:t>E. 6.4.1</w:t>
      </w:r>
    </w:p>
    <w:p>
      <w:r>
        <w:t>Die Beschwerdeführenden machen in Bezug auf ihre Mitgliedschaft selber nicht geltend, dass ihnen innerhalb der DVF eine besonders exponierte Stellung beziehungsweise Führungsfunktion zukommt, wobei mangels eines entsprechenden aktuellen Beleges unklar ist, ob die Beschwerdeführerin überhaupt noch Mitglied der DVF ist. Im Übrigen liegt lediglich ein Foto der Beschwerdeführerin bei den Akten, welches sie bei einer exilpolitischen Veranstaltung zeigt. Damit vermag sie von vornherein kein relevantes Gefährdungspotenzial darzutun. Aber auch die im vorliegenden Verfahren durch die Beweismittel dokumentierte Beteiligung des Beschwerdeführers an exilpolitischen Aktivitäten - sei es als Teilnehmer an Kundgebungen oder Versammlungen - lassen nicht das Gefährdungspotenzial ersehen, welches der Beschwerdeführer beziehungsweise die Beschwerdeführenden daraus zu ziehen versuchen. Beide Beschwerdeführenden weisen nicht das Profil auf, welches den Argwohn der iranischen Sicherheitskräfte im Sinne einer Identifizierung und Fichierung als ernst zu nehmende Regimegegner erweckt haben dürfte.</w:t>
      </w:r>
    </w:p>
    <w:p>
      <w:r>
        <w:rPr>
          <w:b/>
        </w:rPr>
        <w:t>E. 6.4.2</w:t>
      </w:r>
    </w:p>
    <w:p>
      <w:r>
        <w:t>Im Sinne einer Klarstellung bleibt darauf hinzuweisen,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auszuleuchten, vielmehr erschöpft sich der Prüfungsumfang der Asylbehörden darin, die gegen aussen manifestierte, aus Sicht der iranischen Behörden als potenziell gefährlich zu wertende Oppositionstätigkeit der in Frage stehenden Person zu beurteilen.</w:t>
      </w:r>
    </w:p>
    <w:p>
      <w:r>
        <w:rPr>
          <w:b/>
        </w:rPr>
        <w:t>E. 6.4.3</w:t>
      </w:r>
    </w:p>
    <w:p>
      <w:r>
        <w:t>Zusammenfassend ist festzuhalten, dass nicht mit überwiegender Wahrscheinlichkeit davon auszugehen ist, die Beschwerdeführenden müssten im Falle ihrer Rückkehr in den Heimatstaat befürchten, dort ernsthafte Nachteile im Sinne von Art. 3 AsylG zu erleiden. Insbesondere fehlen im vorliegenden Fall jegliche aktenkundige Hinweise darauf, dass im Iran aufgrund der genannten politischen Aktivitäten im Exil gegen sie ein Strafverfahren oder andere behördliche Massnahmen eingeleitet worden sind, was ein Indiz für eine fehlende Verfolgungsgefahr im Heimatland darstellt. In letzter Konsequenz ist hierbei anzumerken,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die Beschwerdeführenden sind auf ihre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der Beschwerdeführenden soweit Notiz genommen haben, dass sie diese als konkrete und ernsthafte Bedrohung für das politische System empfinden würden.</w:t>
      </w:r>
    </w:p>
    <w:p>
      <w:r>
        <w:rPr>
          <w:b/>
        </w:rPr>
        <w:t>E. 6.4.4</w:t>
      </w:r>
    </w:p>
    <w:p>
      <w:r>
        <w:t>Der Vollständigkeit halber ist schliesslich anzumerken, dass Personen aus dem Iran sowohl aufgrund ihrer (illegalen) Ausreise aus ihrem Heimatland als auch wegen der Einreichung eines Asylgesuchs in der Schweiz bei einer Rückkehr in ihre Heimat gemäss gesicherten Erkenntnissen des Bundesverwaltungsgerichts keine asylrechtlich relevanten Nachteile zu befürchten haben (vgl. BVGE 2009/28 E. 7.4.4, mit weiteren Hinweisen).</w:t>
      </w:r>
    </w:p>
    <w:p>
      <w:r>
        <w:rPr>
          <w:b/>
        </w:rPr>
        <w:t>E. 6.5</w:t>
      </w:r>
    </w:p>
    <w:p>
      <w:r>
        <w:t>Nach dem Gesagten ergibt sich, dass vorliegend keine Nachfluchtgründe bestehen, die zur Zuerkennung der Flüchtlingseigenschaft hätten führen können. Die Vorinstanz hat die Asylgesuche der Beschwerdeführenden auch unter diesem Blickwinkel zu Recht abgelehnt.</w:t>
      </w:r>
    </w:p>
    <w:p>
      <w:r>
        <w:rPr>
          <w:b/>
        </w:rPr>
        <w:t>E. 7</w:t>
      </w:r>
    </w:p>
    <w:p>
      <w:r>
        <w:t>Angesichts der aufgezeigten Sachlage erweisen sich die im Rahmen des Beschwerdeverfahrens erhobenen Rügen in allen Punkten als unbegründet. In Würdigung der gesamten Umstände ist im Einklang mit der Vorinstanz festzustellen, dass die Beschwerdeführenden keinen Sachverhalt geltend gemacht haben, der sie zur Anerkennung als Flüchtling im Sinne der Definition von Art. 3 AsylG berechtigen würde. Die Ablehnung der Asylgesuche ist demnach zu bestätigen.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8.1</w:t>
      </w:r>
    </w:p>
    <w:p>
      <w:r>
        <w:t>Die Beschwerdeführenden verfügen weder über eine ausländerrechtliche Aufenthaltsbewilligung noch über einen Anspruch auf Erteilung einer solchen. Die Wegweisung wurde demnach zu Recht angeordnet (Art. 44 Abs. 1 AsylG; vgl. BVGE 2008/34 E. 9.2).</w:t>
      </w:r>
    </w:p>
    <w:p>
      <w:r>
        <w:rPr>
          <w:b/>
        </w:rPr>
        <w:t>E. 8.2</w:t>
      </w:r>
    </w:p>
    <w:p>
      <w:r>
        <w:t>Das BFM ordnete mit seinen Verfügungen vom 21. Dezember 2006 die vorläufige Aufnahme der Beschwerdeführenden zufolge Vorliegens einer schwerwiegenden persönlichen Notlage an. Diese Anordnung besteht nach wie vor, weshalb sich Ausführungen zum Wegweisungsvollzug erübrigen.</w:t>
      </w:r>
    </w:p>
    <w:p>
      <w:r>
        <w:rPr>
          <w:b/>
        </w:rPr>
        <w:t>E. 9</w:t>
      </w:r>
    </w:p>
    <w:p>
      <w:r>
        <w:t>Aus den vorstehenden Erwägungen ergibt sich, dass die angefochtenen Verfügungen Bundesrecht nicht verletzen, den rechtserheblichen Sachverhalt richtig und vollständig feststellen und angemessen sind (Art. 106 AsylG). Die Beschwerden sind nach dem Gesagten abzuweisen.</w:t>
      </w:r>
    </w:p>
    <w:p>
      <w:r>
        <w:rPr>
          <w:b/>
        </w:rPr>
        <w:t>E. 10</w:t>
      </w:r>
    </w:p>
    <w:p>
      <w:r>
        <w:t>Dem Ausgang des Verfahrens entsprechend wären die Kosten den mit ihren Begehren unterlegenen Beschwerdeführenden zu überbinden (Art. 63 Abs. 1 VwVG). Diese haben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den Beschwerdeführenden nicht vorgehalten werden, ihrer Beschwerde habe es im Zeitpunkt der Beantragung der unentgeltlichen Rechtspflege mit Blick auf die Erfolgsaussichten an der nötigen Ernsthaftigkeit gefehlt (vgl. BGE 125 II 265 E. 4b S. 275). Zudem ist aufgrund der Aktenlage nicht davon auszugehen, dass die Beschwerdeführenden ein den prozessualen Notbedarf übersteigendes Einkommen erzielen.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