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D-5673/2009 vom 13. Juli 2012</w:t>
      </w:r>
    </w:p>
    <w:p>
      <w:r>
        <w:t>Bundesverwaltungsgericht, 2012-07-13, FR</w:t>
      </w:r>
    </w:p>
    <w:p>
      <w:r>
        <w:rPr>
          <w:b/>
        </w:rPr>
        <w:t xml:space="preserve">Quelle: </w:t>
      </w:r>
      <w:r>
        <w:t>https://mcp.opencaselaw.ch/entscheid/bvger_D-5673_2009</w:t>
      </w:r>
    </w:p>
    <w:p>
      <w:r>
        <w:t>FR: TAF D-5673/2009 du 13 juillet 2012</w:t>
      </w:r>
    </w:p>
    <w:p>
      <w:r>
        <w:t>IT: TAF D-5673/2009 del 13 luglio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Kälin, op. cit., p. 307 et 312).</w:t>
      </w:r>
    </w:p>
    <w:p>
      <w:r>
        <w:rPr>
          <w:b/>
        </w:rPr>
        <w:t>E. 3.1</w:t>
      </w:r>
    </w:p>
    <w:p>
      <w:r>
        <w:t>En l'occurrence, le Tribunal considère, à l'instar de l'ODM, que le recourant n'a pas rendu crédible l'existence de poursuites étatiques engagées à son encontre, antérieures à son départ du Yémen, fondées sur des motifs politiques, religieux ou analogues.</w:t>
      </w:r>
    </w:p>
    <w:p>
      <w:r>
        <w:rPr>
          <w:b/>
        </w:rPr>
        <w:t>E. 3.2</w:t>
      </w:r>
    </w:p>
    <w:p>
      <w:r>
        <w:t>Celui-ci a tout d'abord affirmé avoir rejoint le parti socialiste yéménite en 1993 et n'avoir rencontré de ce fait aucun ennui avec les autorités, son action s'étant limitée à la simple participation à des réunions et au versement de cotisations mensuelles. En revanche, son insoumission aux préceptes religieux de l'Islam lui aurait valu d'être arrêté par la police en 1994 (détention de trois jours et 80 coups de fouet), en 2001 (détention de quatre jours avec coups et blessures), et en 2006 (détention de cinq jours sans mauvais traitements). Dès lors que le recourant est originaire d'Aden et a connu l'époque où le Sud-Yémen était un Etat indépendant - avant la réunification avec le Nord traditionaliste advenue en 1990 - tourné vers le socialisme et la laïcité, le Tribunal ne peut pas exclure que l'intéressé ait effectivement adhéré au parti socialiste yéménite ni qu'il ait fait le choix de ne pas se conformer aux préceptes de l'Islam. Toutefois, savoir si les mesures subies par l'intéressé jusqu'en 2006, aussi éprouvantes qu'elles aient été, répondent à l'exigence d'intensité de la persécution du fait de leur degré de gravité ou si elles revêtent le caractère systématique pour que soit reconnue l'existence d'une situation de pression psychique insupportable, au sens de la jurisprudence et de la doctrine, sont des questions qui peuvent demeurer indécises, dès lors que ces mesures n'ont manifestement pas motivé son départ du pays. En effet, il n'est pas possible de considérer la fuite de l'intéressé en avril 2007, comme la conséquence directe des pressions subies jusqu'en 2006, celui-ci ayant expressément déclaré avoir "repris sa vie d'avant" après sa dernière garde à vue intervenue durant le ramadan en 2006 (cf. pv d'audition du 10 avril 2007, p. 5). Un tel comportement démontre qu'il ne se sentait pas véritablement menacé dans son pays à l'époque considérée et qu'il pouvait somme toute continuer d'y vivre en toute sécurité. Par ailleurs, la police, laquelle aurait arrêté par trois fois l'intéressé sous prétexte qu'il avait enfreint la loi islamique en vigueur, ne disposait vraisemblablement d'aucun élément de preuve concret et sérieux d'actes pénalement répréhensibles à son égard. Dans le cas contraire, le recourant n'aurait pas été libéré à chaque fois au terme de ses détentions, spécialement en 2006, et sans que ne soit engagée à son encontre une procédure judiciaire, étant précisé que l'Islam est la religion de l'Etat au Yémen, et que toute conversion d'un Musulman à une autre religion y est strictement interdite.</w:t>
      </w:r>
    </w:p>
    <w:p>
      <w:r>
        <w:rPr>
          <w:b/>
        </w:rPr>
        <w:t>E. 3.3</w:t>
      </w:r>
    </w:p>
    <w:p>
      <w:r>
        <w:t>Concernant l'arrestation dont s'est dit victime le recourant en février 2007 et la libération sous caution qui s'en serait suivie près d'une semaine plus tard, le Tribunal considère, pour les raisons clairement exposées dans la décision querellée, que l'intéressé n'a pas été en mesure d'en établir la vraisemblance, tant ses déclarations se sont révélées singulièrement imprécises, inconstantes et dénuées de toute substance. Tout d'abord, quand bien même l'intéressé se serait-il trouvé sous l'emprise de l'alcool le 20 février 2007, il apparaît douteux qu'il ait déclaré de manière délibérée son incroyance à un imam, toute manifestation d'infidélité à l'Islam étant notoirement sévèrement réprimée. De plus, il ne s'est pas montré constant au sujet de sa conversation avec l'imam, ayant déclaré tantôt que celle-ci avait été enregistrée par un témoin au moyen d'un téléphone portable (cf. pv d'audition du 10 avril 2007, p. 5), tantôt que la scène avait été photographiée et filmée avec un portable, tantôt qu'il avait pu visionner le film, tantôt qu'il ne l'avait pas vu (cf. pv d'audition du 26 avril 2007, p. 7 et 10). Il a également déclaré, à propos de l'individu qui l'aurait libéré et qu'il aurait pourtant connu en qualité de voisin, que celui-ci était tantôt membre de la sécurité politique (cf. pv d'audition du 10 avril 2007, p. 5), tantôt membre de la sûreté centrale, tantôt responsable de la sûreté militaire (cf. pv d'audition du 26 avril 2007, p. 6). Ces divergences de taille, relatives à des événements marquants, constituent en réalité des contradictions qui portent sur des motifs d'asile essentiels et qui en altèrent sérieusement la crédibilité, d'autant qu'elles ne sauraient s'expliquer, contrairement à ce que soutient le recourant, par les traumatismes subis, aucun élément du dossier ne permettant de cautionner cette thèse. En outre, l'intéressé n'a fourni aucun indice convaincant susceptible de justifier pourquoi, deux jours après l'altercation avec l'imam, il aurait pris le risque inconsidéré de quitter l'endroit où il s'était entre-temps réfugié pour revenir à son domicile. En effet, au regard des ennuis qu'il aurait connus par le passé, de son engagement écrit en 2006 et de la présence de témoins au moment de l'incident (cf. ibidem, p. 7), il pouvait s'attendre à ce que les autorités yéménites prissent des mesures répressives contre lui. Pour les mêmes raisons, il apparaît douteux qu'il ait donné suite, sans hésitation aucune, à la convocation du Ministère Public du [...], sous le simple prétexte qu'un voisin le lui aurait suggéré. Par ailleurs, il n'a pas été capable d'expliquer de manière convaincante comment son libérateur - du moment que celui-ci n'était pas employé à la prison d'Aden - aurait appris qu'il s'y trouvait lui-même en détention, s'étant satisfait de déclarer que cet individu était "un haut responsable, il sait tout. Il est au courant de tout, il est allé consulter mon dossier" (cf. pv d'audition du 26 avril 2007, p. 6 et p. 9). Enfin, il n'a fourni aucune indication utile concernant sa libération sous caution, intervenue à une date non précisée, ni sur son jugement, prévu près d'un mois plus tard, alors qu'il dit avoir signé un document au moment de sa sortie de prison, lequel serait resté dans les archives de la police (cf. ibidem, p. 9).</w:t>
      </w:r>
    </w:p>
    <w:p>
      <w:r>
        <w:rPr>
          <w:b/>
        </w:rPr>
        <w:t>E. 3.4</w:t>
      </w:r>
    </w:p>
    <w:p>
      <w:r>
        <w:t>S'agissant des moyens de preuve versés au dossier, le Tribunal n'a aucune raison de s'écarter des constatations retenues par l'ODM dans la décision attaquée (cf. let. C supra), le recours ne contenant à ce égard aucun élément concret et sérieux susceptible de remettre en cause l'appréciation de l'autorité de première instance.</w:t>
      </w:r>
    </w:p>
    <w:p>
      <w:r>
        <w:rPr>
          <w:b/>
        </w:rPr>
        <w:t>E. 3.5</w:t>
      </w:r>
    </w:p>
    <w:p>
      <w:r>
        <w:t>Sur le vu de ce qui précède, le Tribunal conclut que les motifs invoqués par le recourant pour justifier son départ du Yémen et le dépôt de sa demande d'asile en Suisse ne sont pas vraisemblables.</w:t>
      </w:r>
    </w:p>
    <w:p>
      <w:r>
        <w:rPr>
          <w:b/>
        </w:rPr>
        <w:t>E. 4.1</w:t>
      </w:r>
    </w:p>
    <w:p>
      <w:r>
        <w:t>L'intéressé a en outre fait valoir des motifs d'asile postérieurs à son départ du Yémen, affirmant avoir exercé, durant son séjour en Suisse, des activités politiques d'opposition au sein de la branche suisse du TAJ, et ayant versé au dossier de recours de nombreux documents attestant dites activités.</w:t>
      </w:r>
    </w:p>
    <w:p>
      <w:r>
        <w:rPr>
          <w:b/>
        </w:rPr>
        <w:t>E. 4.2</w:t>
      </w:r>
    </w:p>
    <w:p>
      <w:r>
        <w:t>Selon la règle générale énoncée à l'art. 2 LAsi, l'asile est octroyé aux réfugiés. Toutefois, la loi prévoit certaines exceptions à ce principe ("clauses d'exclusion de l'asile"). C'est en particulier le cas de l'art. 54 LAsi. En effet, selon cette disposition, celui qui est reconnu réfugié au sens de l'art. 3 LAsi, mais uniquement en raison de son départ du pays d'origine (ou de provenance) ou de son comportement après sa fuite, ne peut être mis au bénéfice de l'asile; de tels motifs, dits "motifs subjectifs postérieurs", ne permettent pas l'octroi de l'asile, mais peuvent seulement faire constater la qualité de réfugié. Le législateur a clairement exclu qu'ils puissent conduire à l'octroi de l'asile, indépendamment de la question de savoir si le comportement du requérant peut ou non être qualifié d'abusif. Ils doivent être distingués des motifs objectifs postérieurs à la fuite qui ne relèvent pas du comportement du requérant. Sont en particulier considérés comme des motifs subjectifs survenus après le départ du pays, au sens de cette disposition, un changement de religion, des activités politiques indésirables en exil, le départ illégal du pays ("Republikflucht") et le dépôt d'une demande d'asile à l'étranger, lorsqu'ils conduisent à une crainte fondée de persécution future (cf. ATAF 2009/29 consid. 5.1 et réf. cit. ; OSAR [éd.], Manuel de la procédure d'asile et de renvoi, Berne 2009 p. 203). L'exécution du renvoi d'un requérant qui s'est vu reconnaître la qualité de réfugié sur la base de motifs subjectifs postérieurs à la fuite s'avère illicite au sens des art. 44 al. 2 LAsi et art. 83 al. 3 de la loi fédérale du 16 décembre 2005 sur les étrangers (LEtr, RS 142.20).</w:t>
      </w:r>
    </w:p>
    <w:p>
      <w:r>
        <w:rPr>
          <w:b/>
        </w:rPr>
        <w:t>E. 4.3</w:t>
      </w:r>
    </w:p>
    <w:p>
      <w:r>
        <w:t>Il ressort des documents versés en cause que l'intéressé est membre actif du TAJ depuis juin 2008 (cf. attestations des 16 novembre 2008 et 19 avril 2010). En tant que tel, il a participé à deux manifestations organisées devant le bâtiment de l'ONU à Genève, les [...] et [...], en vue de protester contre les exactions commises au Sud-Yémen. Il a également été l'auteur d'une interview accordée au responsable de l'information du TAJ en Suisse, diffusée sur Internet (sur le site E._______) en novembre 2009. Par ailleurs, depuis le [...], l'intéressé a été élu au poste de responsable des relations publiques au sein du bureau du TAJ en Suisse. Sur le vu de ces éléments, il a affirmé que les autorités de son pays d'origine avaient connaissance de ses activités politiques en exil et que, s'il devait retourner au Yémen, il serait exposé à un risque concret et sérieux de persécution. Le TAJ est une organisation de Sud-Yéménites en exil, créée à Londres en 2003 et essentiellement active en dehors du Yémen. Il existe des indices concrets que les activités de cette organisation on été, dans le passé et aujourd'hui encore (en dépit du départ de l'ancien président Ali Abdallah Saleh et la mise en place d'un gouvernement de transition, le 21 février 2012), sérieusement observées par les autorités yéménites et que certaines personnes particulièrement actives ou membres des structures dirigeantes de ce parti ont pu se trouver, pour cette raison, exposées à des préjudices en cas de retour dans leur pays d'origine (cf. Arrêt du Tribunal administratif fédéral du 21 mai 2012 en la cause E-4499/2010). Cependant, l'intéressé n'a pas établi qu'il aurait joué, en faveur de cette organisation, un rôle de nature à attirer particulièrement l'attention des autorités. Il n'apparaît en effet que comme participant à deux manifestations organisées par la branche suisse du TAJ. Or, celles-ci sont nombreuses, non seulement en Suisse, mais dans d'autres pays et il serait pratiquement impossible aux autorités de s'intéresser non seulement aux personnes réputées être des leaders d'opinion, mais à chacun des manifestants dans de tels contextes. S'agissant de l'interview publiée sur Internet en novembre 2009, le contenu de celle-ci ne saurait être considéré comme particulièrement virulent envers le régime yéménite; il révèle en effet (selon la traduction fournie par l'intéressé) que celui-ci oeuvre au sein du TAJ en vue d'"éclaircir la question du Sud à l'opinion publique internationale"; à cet effet, son parti organise régulièrement des manifestations devant les organisations internationales et les sièges du gouvernement en Suisse, et envoie des comptes-rendus aux organisations internationales et humanitaires afin de dénoncer l'oppression et la violence exercées par le régime en place à l'égard des sudistes. En d'autres termes, l'intéressé, à travers cet épisode unique non renouvelé remontant à 2009, ne s'est pas signalé comme un dénonciateur ou un revendicateur subversif, ni comme un élément faisant partie du noyau actif de l'opposition yéménite à l'étranger au point d'avoir pu attirer l'attention des services de renseignements de son pays et de pouvoir être considéré par les autorités de celui-ci comme constituant un danger potentiel pour le régime de Sanaa. Enfin, le fait qu'il ait été élu au poste de responsable des relations publiques à Genève n'apparaît pas non plus décisif, dès lors qu'il n'a pas spécifié en quoi cette fonction serait susceptible d'attirer défavorablement l'attention des autorités de son pays. Le Tribunal ne saurait non plus retenir que les activités en exil de l'intéressé sont d'autant plus susceptibles d'être observées qu'il s'était déjà signalé par un comportement hostile au gouvernement. En effet, les faits allégués à l'appui de sa demande n'ont pas été considérés comme vraisemblables. Dans ces circonstances, il convient d'écarter à suffisance l'existence pour l'intéressé, d'un risque concret de persécution en cas de retour dans son pays d'origine.</w:t>
      </w:r>
    </w:p>
    <w:p>
      <w:r>
        <w:rPr>
          <w:b/>
        </w:rPr>
        <w:t>E. 4.4</w:t>
      </w:r>
    </w:p>
    <w:p>
      <w:r>
        <w:t>Il s'ensuit que les motifs postérieurs au départ du Yémen du recourant ne sont pas propres à fonder sa qualité de réfugié. Dans ces conditions,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 Pour les mêmes motifs, il n'a pas non plus rendu hautement probable qu'il serait victime, à son retour dans son pays d'origine, d'autres traitements prohibés par le droit international contraignant (sur ce sujet cf. JICRA 1996 n° 18 consid. 14b let. ee p. 186 s).</w:t>
      </w:r>
    </w:p>
    <w:p>
      <w:r>
        <w:rPr>
          <w:b/>
        </w:rPr>
        <w:t>E. 7.3</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cité plus haut,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154 ss).</w:t>
      </w:r>
    </w:p>
    <w:p>
      <w:r>
        <w:rPr>
          <w:b/>
        </w:rPr>
        <w:t>E. 8.3</w:t>
      </w:r>
    </w:p>
    <w:p>
      <w:r>
        <w:t>Il s'agit donc d'examiner, au regard des critères explicités ci-dessus, si l'intéressé est en droit de conclure au caractère inexigible de l'exécution de son renvoi, compte tenu de la situation générale prévalant actuellement au Yémen, d'une part, et de sa situation personnelle, d'autre part.</w:t>
      </w:r>
    </w:p>
    <w:p>
      <w:r>
        <w:rPr>
          <w:b/>
        </w:rPr>
        <w:t>E. 8.4</w:t>
      </w:r>
    </w:p>
    <w:p>
      <w:r>
        <w:t>En l'occurrence, en dépit des tensions prévalant toujours notamment dans le sud du pays entre l'armée gouvernementale et des militants islamistes membres d'Al-Qaïda dans la péninsule Arabique (Aqpa), le Tribunal estime qu'en l'état, la situation au Yémen n'est pas telle qu'il faille conclure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bien que les combattants d'Aqpa aient pris le contrôle de plusieurs villes du Sud, en particulier dans la province d'Abyane, il est notoire que la ville d'Aden, d'où provient le recourant, est toujours sous le contrôle des forces gouvernementales.</w:t>
      </w:r>
    </w:p>
    <w:p>
      <w:r>
        <w:rPr>
          <w:b/>
        </w:rPr>
        <w:t>E. 8.5</w:t>
      </w:r>
    </w:p>
    <w:p>
      <w:r>
        <w:t>En ce qui concerne la situation particulière du recourant, il ne ressort du dossier aucun élément dont on pourrait inférer que l'exécution du renvoi impliquerait une mise en danger concrète de celui-ci. A cet égard, le Tribunal relève que le recourant est jeune et n'est pas dépourvu de compétences professionnelles, puisqu'il serait au bénéfice d'un diplôme de menuisier et aurait travaillé, depuis 2000 jusqu'à son départ du pays en 2007, comme vendeur [...]. Certes, sur le vu des documents médicaux versés en cause (cf. certificats médicaux des 28 août 2009 et 1er mai 2012, let. D et L supra), le Tribunal constate que celui-ci est suivi depuis 2007 en raison d'un état anxio-dépressif (ayant nécessité une prise en charge psychiatrique en vue de stabiliser l'état psychique), d'un diabète de type II (ayant nécessité un traitement antidiabétique oral), et d'un reflux oesophagien, avec hypercholesterolémie (pour lequel il bénéficie des traitements nécessaires adéquats). Or, s'il n'y a pas lieu de remettre en cause les affections relevées ci-dessus, il ne ressort pas des documents médicaux produits qu'à défaut des traitements préconisés, l'état de santé du recourant se dégraderait très rapidement, au point de conduire à brève échéance à une mise en danger concrète de sa personne, ou nécessiterait des soins essentiels ou des traitements complexes qui devraient impérativement se poursuivre en Suisse, au sens de la jurisprudence publiée (cf. JICRA 2003 n° 24 précitée, consid. 5b p. 157 s.). Le Tribunal est ainsi fondé à conclure que le recourant disposera des moyens et ressources nécessaires afin d'assurer sa subsistance et qu'il pourra se réinstaller cas échéant à Aden et y mener une vie conforme à la dignité humaine, en dépit des difficultés de réinsertion qu'il sera appelé à rencontrer à son retour, au terme de cinq années passées en Suisse.</w:t>
      </w:r>
    </w:p>
    <w:p>
      <w:r>
        <w:rPr>
          <w:b/>
        </w:rPr>
        <w:t>E. 8.6</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dans la mesure où l'intéressé a été mis au bénéfice de l'assistance judiciaire, par décision incidente du 18 septembre 2009,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