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D-566/2009 vom 2. Februar 2009</w:t>
      </w:r>
    </w:p>
    <w:p>
      <w:r>
        <w:t>Bundesverwaltungsgericht, 2009-02-02, FR</w:t>
      </w:r>
    </w:p>
    <w:p>
      <w:r>
        <w:rPr>
          <w:b/>
        </w:rPr>
        <w:t xml:space="preserve">Quelle: </w:t>
      </w:r>
      <w:r>
        <w:t>https://mcp.opencaselaw.ch/entscheid/bvger_D-566_2009</w:t>
      </w:r>
    </w:p>
    <w:p>
      <w:r>
        <w:t>FR: TAF D-566/2009 du 2 février 2009</w:t>
      </w:r>
    </w:p>
    <w:p>
      <w:r>
        <w:t>IT: TAF D-566/2009 del 2 febbraio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art. 83 let. d ch. 1 de la loi fédérale du 17 juin 2005 sur le Tribunal fédéral [LTF, RS 173.110]).</w:t>
      </w:r>
    </w:p>
    <w:p>
      <w:r>
        <w:rPr>
          <w:b/>
        </w:rPr>
        <w:t>E. 1.2</w:t>
      </w:r>
    </w:p>
    <w:p>
      <w:r>
        <w:t>Le recourant a qualité pour recourir (art. 48 al. 1 PA). Présenté dans la forme (art. 52 PA) et le délai de cinq jours ouvrables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cf. pour plus de détails concernant cet examen le consid. 3.2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OA 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Sont visés tous les documents qui permettent une identification certaine du requérant et qui assurent son rapatriement dans son pays d'origine sans grandes formalités administratives. En pratique, il s'agira généralement des passeports et des cartes d'identité. D'autres documents, tels des passeports intérieurs, peuvent également être considérés comme des pièces d'identité valables. En revanche, les documents qui fournissent des renseignements sur l'identité, mais qui sont établis dans un autre but, comme les permis de conduire, les cartes professionnelles, les certificats scolaires et les actes de naissance ne peuvent être considérés comme des pièces d'identité (cf. ATAF 2007/7 consid. 4 à 6 p. 58 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Si un tel examen matériel sommaire ne permet pas de conclure que le requérant remplit manifestement les conditions de la qualité de réfugié ou qu'il ne les remplit manifestement pas, il y aura lieu d'entrer en matière pour instruire plus avant la cause. Il en va de même si le cas requiert des mesures d'instruction complémentaires, au sens de l'art. 32 al. 3 let. c LAsi, pour l'appréciation de la vraisemblance ou de la pertinence des allégués, respectivement pour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Dans son recours, il n'a par ailleurs donné aucune explication susceptible de remettre en cause le considérant I ch. 1 de la décision attaquée, que le Tribunal fait sien après examen du dossier et auquel il est par conséquent renvoyé (art. 109 al. 3 LTF, par renvoi de l'art. 6 LAsi).</w:t>
      </w:r>
    </w:p>
    <w:p>
      <w:r>
        <w:rPr>
          <w:b/>
        </w:rPr>
        <w:t>E. 3.2</w:t>
      </w:r>
    </w:p>
    <w:p>
      <w:r>
        <w:t>C'est en outre à juste titre que l'autorité de première instance a considéré que la qualité de réfugié de l'intéressé n'était manifestement pas établie et qu'aucune mesure d'instruction supplémentaire n'était nécessaire (cf. art. 32 al. 3 let. b et let. c LAsi). Comme l'ODM l'a à juste titre relevé, le recourant ne saurait se prévaloir utilement d'une crainte fondée de persécution en cas de retour dans son pays d'origine, sur la base de son refus de servir. En effet, une éventuelle sanction pour insoumission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JICRA 2004 n° 2 consid. 6b/aa p. 16 s., JICRA 2003 n° 8, JICRA 2002 n° 19 consid. 6d p. 156 ss, JICRA 2001 n° 15 consid. 8d/da p. 117; Haut Commissariat des Nations Unies pour les réfugiés [HCR], Guide des procédures et critères à appliquer pour déterminer le statut de réfugié, Genève, janvier 1992, ch. 167 ss, p. 43 ss; Samuel Werenfels, Der Begriff des Flüchtlings im schweizerischen Asylrecht, Berne 1987, p. 258 s.). Certes, le recourant a prétendu qu'il serait exposé à une peine plus sévère ou disproportionnée, respectivement qu'il risquait de perpétrer des crimes de guerre et de violer les droits humains en combattant des ressortissants ossètes dont il aurait partagé les origines. Toutefois, il ne ressort pas du dossier que l'intéressé serait exposé à une peine plus sévère ou disproportionnée, soit à une sanction plus sévère que n'importe quel déserteur ou réfractaire encourrait, en raison de motifs tirés de l'art. 3 LAsi. En effet, il n'a, notamment, jamais exercé d'activité politique dans son pays (cf. pv de l'audition du 2 octobre 2008 p. 6), et rien n'indique que son appartenance ethnique ou religieuse l'exposerait à une telle sanction, étant encore précisé qu'une peine maximale de cinq années d'emprisonnement pour insoumission et de sept années pour désertion, peines prévues par le code pénal géorgien, ne saurait être, en soi et indépendamment des circonstances concrètes, qualifiée de disproportionnée. Enfin, alors qu'il était en Géorgie, le recourant n'a jamais invoqué ses convictions religieuses pour éviter d'accomplir son service militaire, mais aurait versé des sommes d'argent pour l'ajourner. Il ne saurait donc, aujourd'hui, se prévaloir de sa liberté de croyance et de conscience pour refuser de servir (cf. HCR, op. cit., ch. 167 ss, spéc. 172 ss, p. 43 ss). Enfin, le recourant, qui n'a jamais eu de formation militaire, n'a pas démontré qu'il aurait été affecté au front et qu'il aurait dû combattre contre des ressortissants ossètes. A ce sujet, il y a encore lieu de relever que le recourant n'a aucun lien avec l'Ossétie, qu'il ne connaît "pas grand chose de la culture ossète", et que même sa mère ne parle pas l'ossète (cf. pv de l'audition du 12 janvier 2009 p. 8). Au demeurant, force est de constater que les déclarations du recourant relatives aux recherches prétendument menées contre lui en raison de son insoumission, ne sont étayées par aucun commencement de preuve, pas plus que ne le sont les risques d'une condamnation à une peine particulièrement sévère. En outre, et bien que cela ne soit pas décisif en l'espèce, il n'apparaît pas crédible que les autorités géorgiennes aient procédé de la manière décrite par le recourant pour mobiliser ses troupes, à savoir en allant chercher les soldats individuellement à leur domicile. Elles auraient en revanche envoyé des ordres de marche, comme elles avaient l'habitude de le faire (cf. pv de l'audition du 12 janvier 2009 questions 43 ss p. 5).</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l'exposerait à un risque de traitement contraire à l'art. 5 LAsi et aux engagements internationaux contractés par la Suisse (cf. à ce propos JICRA 1996 n° 18 consid. 14b let. ee p. 186 s. et références citées). L'exécution du renvoi est donc licite au sens de l'art. 83 al. 3 LEtr.</w:t>
      </w:r>
    </w:p>
    <w:p>
      <w:r>
        <w:rPr>
          <w:b/>
        </w:rPr>
        <w:t>E. 4.3</w:t>
      </w:r>
    </w:p>
    <w:p>
      <w:r>
        <w:t>Cette mesure est également raisonnablement exigible (art. 83 al. 4 LEtr). En effet, il sied d'abord de relever que le conflit qui a éclaté en août 2008 entre les armées géorgienne et russe était confiné à l'Abkhazie et à l'Ossétie du Sud, deux régions séparatistes de la Géorgie, ainsi qu'à des zones adjacentes (dites zones tampons). Depuis l'accord signé entre les belligérants, le 12 août 2008, le président en exercice de l'Union Européenne (ci-après: UE) et le président russe sont convenus, le 8 septembre 2008, d'un retrait complet des forces russes de Géorgie, hors territoires séparatistes, et du déploiement d'au moins 200 observateurs de l'UE. Ils se sont aussi entendus sur la poursuite des discussions internationales concernant l'Abkhazie et l'Ossétie du Sud, tout en continuant à diverger sur le statut des deux républiques séparatistes de Géorgie, dont Moscou a reconnu l'indépendance le 26 août 2008. Le retrait tel qu'annoncé s'est achevé le 8 octobre 2008, soit deux jours avant l'échéance prévue par l'accord, et les troupes russes ne sont donc plus présentes que dans les régions séparatistes géorgiennes. Compte tenu de ce qui précède, et malgré des tensions toujours existantes entre la Russie et la Géorgie, le Tribunal ne saurait considérer qu'il règne actuellement et de manière générale une situation de guerre, de guerre civile ou de violence généralisée en Géorgie, au point que l'on doive renoncer systématiquement à l'exécution du renvoi de tous les ressortissants de ce pays, indépendamment du lieu où ils sont renvoyés et de leur situation personnelle. S'agissant de la situation du recourant, il ne ressort du dossier aucun élément dont on pourrait inférer que l'exécution du renvoi impliquerait pour lui une mise en danger concrète. A cet égard, l'autorité de céans relève que l'intéressé est jeune, sans charge de famille, et n'a pas allégué de problème de santé particulier. Tous ces facteurs, auxquels s'ajoute le fait que sa famille demeure au pays, devraient lui permettre de se réinstaller dans son pays d'origine, pays qu'il n'a quitté que depuis quelques mois, sans y affronter d'excessives difficultés. De plus, A._______ provient de B._______, ville épargnée par les affrontements d'août 2008, dans laquelle il pourra reprendre son activité professionnelle.</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fixés à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