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D-5667/2022 vom 14. Dezember 2022</w:t>
      </w:r>
    </w:p>
    <w:p>
      <w:r>
        <w:t>Bundesverwaltungsgericht, 2022-12-14, DE</w:t>
      </w:r>
    </w:p>
    <w:p>
      <w:r>
        <w:rPr>
          <w:b/>
        </w:rPr>
        <w:t xml:space="preserve">Quelle: </w:t>
      </w:r>
      <w:r>
        <w:t>https://mcp.opencaselaw.ch/entscheid/bvger_D-5667_2022</w:t>
      </w:r>
    </w:p>
    <w:p>
      <w:r>
        <w:t>FR: TAF D-5667/2022 du 14 décembre 2022</w:t>
      </w:r>
    </w:p>
    <w:p>
      <w:r>
        <w:t>IT: TAF D-5667/2022 del 14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Ziffer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Im Falle eines Nichteintretens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 bis Art.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bis Art. 25 Dublin-III-VO) findet grundsätzlich keine (erneue) Zuständigkeitsprüfung nach Kapitel III Dublin-III-VO mehr statt (vgl. zum Ganzen BVGE 2017 VI/5 E. 6.2 und 8.2.1).</w:t>
      </w:r>
    </w:p>
    <w:p>
      <w:r>
        <w:rPr>
          <w:b/>
        </w:rPr>
        <w:t>E. 5.1</w:t>
      </w:r>
    </w:p>
    <w:p>
      <w:r>
        <w:t>Ein Abgleich der Fingerabdrücke des Beschwerdeführers mit der Fingerabdruck-Datenbank ergab, dass er am (...) in Österreich ein Asylgesuch eingereicht hat. Das SEM ersuchte deshalb die österreichischen Behörden am 17. November 2022 um Wiederaufnahme des Beschwerdeführers. Nachdem sich die österreichischen Behörden innert der geltenden Frist nicht zum Wiederaufnahmegesuch des SEM geäussert haben, ist die staatsvertragliche Zuständigkeit Österreichs grundsätzlich gegeben (vgl. Art. 25 Abs. 2 Dublin-III-VO).</w:t>
      </w:r>
    </w:p>
    <w:p>
      <w:r>
        <w:rPr>
          <w:b/>
        </w:rPr>
        <w:t>E. 5.2</w:t>
      </w:r>
    </w:p>
    <w:p>
      <w:r>
        <w:t>Das Vorbringen des Beschwerdeführers, er sei in Österreich zur Abgabe seiner Fingerabdrücke gezwungen worden, ist bezüglich der Zuständigkeitsfrage unbehelflich. Bereits die (unbestrittene) Einreise in das Hoheitsgebiet des Dublin-Staates hat die Zuständigkeit Österreichs für die Durchführung des Asyl- und Wegweisungsverfahrens begründet (Art. 13 Abs. 1 Bst. a Dublin-III-VO). Im Übrigen ist unerheblich, ob der Beschwerdeführer den Wunsch hatte, nur in der Schweiz um Asyl zu ersuchen; die Dublin-III-VO räumt den Schutzsuchenden kein Recht ein, den ihren Antrag prüfenden Staat selber auszuwählen (vgl. BVGE 2010/45 E. 8.3). Soweit der Beschwerdeführer geltend macht, er wolle mit seinem Cousin, der ein in der Schweiz vorläufig aufgenommener, unbegleiteter Minderjähriger sei, zusammenwohnen und ihn unterstützen, ist auch dieser Einwand unbe-helflich. Der Beschwerdeführer hat im erstinstanzlichen Verfahren den angeblichen Cousin nicht erwähnt, weshalb kaum eine enge Beziehung zu ihm bestehen dürfte. Im Übrigen ist dieser nicht als Familienangehöriger im Sinne von Art. 2 Bst. g Dublin-III-VO zu qualifizieren, weshalb die Zuständigkeitskriterien zum Schutze der Familieneinheit (Art. 9 ff. Dublin-III-VO) ohnehin nicht einschlägig wären (vgl. statt vieler: Urteil des BVGer F-2715/2021 vom 11. März 2022 E. 10.1). Auch fällt die geltend gemachte Beziehung offensichtlich nicht in den Anwendungsbereich des Art. 16 Abs. 1 der Dublin-III-VO. Die Einwände des Beschwerdeführers vermögen daher nichts an der grundsätzlichen Zuständigkeit Österreichs zu ändern.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österreichische Asylsystem keine systemischen Mängel im Sinne von Art. 3 Abs. 2 zweiter Satz Dublin-III-VO aufweist (vgl. bspw. Urteil des BVGer F-5522/2022 vom 7. Dezember 2022 E. 4, m.w.H.). Die pauschalen und nicht substanziierten Einwände des Beschwerdeführers, in Österreich sei der Zugang zu unabhängiger Rechtsberatung erschwert, vulnerable Personen würden inhaftiert werden, Uniformierte in Österreich hätten ihn schlecht behandelt und es würden keine Mechanismen zum Schutz von vulnerablen Personen existieren, vermögen an dieser Rechtsprechung nichts zu ändern.</w:t>
      </w:r>
    </w:p>
    <w:p>
      <w:r>
        <w:rPr>
          <w:b/>
        </w:rPr>
        <w:t>E. 6.3</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vermag nicht darzutun, dass die ihm bei einer Rückführung nach Österreich zu erwartenden Bedingungen derart schlecht sind, dass sie zu einer Verletzung von Art. 3 EMRK führen könnten. Dies gilt auch in Bezug auf die angeblich erlebte - aber nicht näher ausgeführte - schlechte Behandlung in Österreich.</w:t>
      </w:r>
    </w:p>
    <w:p>
      <w:r>
        <w:rPr>
          <w:b/>
        </w:rPr>
        <w:t>E. 7.3</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Den Akten ist zu entnehmen, dass der Beschwerdeführer an (...), (...) und (...) leidet. Gemäss dem behandelnden Arzt ist bis auf weiteres eine psychiatrische Anbindung dringend nötig (vgl. act. SEM 1206433-17/2 und act. SEM 1206433-18/1). Für den (...) ist ein Erstgespräch bei den Psychiatrischen Diensten D._______ vorgesehen (vgl. Beschwerdebeilage). Diese gesundheitlichen Beeinträchtigungen sind nicht zu verharmlosen, sind aber auch nicht von derartiger Schwere, dass sie die Feststellung der Unzulässigkeit im Sinne der obgenannten restriktiven Rechtsprechung zu rechtfertigen vermöchten. Zudem können sie in Österreich (weiter) behandelt werden. Es ist allgemein bekannt, dass Österreich über eine ausgezeichnete medizinische Infrastruktur verfügt. Es liegen zudem keine Hinweise vor, wonach Österreich dem Beschwerdeführer eine adäquate medizinische Behandlung verweigern würde (vgl. Urteil des BVGer E-5043/2022 vom 16. November 2022 E. 7.1). Die geltend gemachten Gesundheitsrisiken beziehungsweise Beschwerden könnten alsdann höchstens die Reisefähigkeit tangieren, welche im Zeitpunkt der tatsächlichen Überstellung konkret abzuklären ist. Weiter wird den gesundheitlichen Beschwerden des Beschwerdeführers bei den Überstellungsmodalitäten Rechnung getragen werden (vgl. Art. 31 f. Dublin-III-VO). Der aktuelle Gesundheitszustand des Beschwerdeführers führt somit für den Fall einer Überstellung nach Österreich nicht zur Annahme einer drohenden Verletzung von Art. 3 EMRK. An dieser Schlussfolgerung vermag die Aussage des Beschwerdeführers, er werde bei einem negativen Entscheid seinem Leben ein Ende setzen, nichts zu ändern. Die Überstellung verstösst auch unter diesem Aspekt nicht gegen Art. 3 EMRK, solange der wegweisende Staat Massnahmen ergreift, um die Umsetzung einer entsprechenden Suiziddrohung zu verhindern (vgl. den Unzulässigkeitsentscheid des EGMR vom 7. Oktober 2004 i.S. Dragan und andere gegen Deutschland, 33743/03, angeführt in EMARK 2005 Nr. 23 E. 5.1 [S. 212]). Es obliegt somit gegebenenfalls den mit der Überstellung betrauten Behörden, im Rahmen der Vorbereitung und in Zusammenarbeit mit den behandelnden Ärzten die notwendigen Vorkehrungen zu treffen, damit bei der Überstellung den konkreten Bedürfnissen Rechnung getragen wird (vgl. Urteil des BVGer E-5293/2022 vom 24. November 2022 E. 6.3.2 m.w.H.). Die Vorinstanz hat denn auch in der angefochtenen Verfügung bereits darauf hingewiesen, dass sie dem Gesundheitszustand des Beschwerdeführers bei der Organisation der Überstellung nach Österreich Rechnung tragen würde. Die österreichischen Behörden sind über die medizinischen Umstände zu informieren (vgl. Art. 31 f. Dublin-III-VO).</w:t>
      </w:r>
    </w:p>
    <w:p>
      <w:r>
        <w:rPr>
          <w:b/>
        </w:rPr>
        <w:t>E. 7.4</w:t>
      </w:r>
    </w:p>
    <w:p>
      <w:r>
        <w:t>Zudem kann sich der Beschwerdeführer hinsichtlich seines angeblichen Cousins offensichtlich nicht auf Art. 8 EMRK stützen (vgl. hierzu BGE 144 II 1 E. 6.1; 135 I 143 E. 3.1).</w:t>
      </w:r>
    </w:p>
    <w:p>
      <w:r>
        <w:rPr>
          <w:b/>
        </w:rPr>
        <w:t>E. 7.5</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7.6</w:t>
      </w:r>
    </w:p>
    <w:p>
      <w:r>
        <w:t>Es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Österreich bleibt somit zuständiger Mitgliedstaat gemäss Dublin-III-VO und ist verpflichtet, den Beschwerdeführer wiederaufzunehmen.</w:t>
      </w:r>
    </w:p>
    <w:p>
      <w:r>
        <w:rPr>
          <w:b/>
        </w:rPr>
        <w:t>E. 8</w:t>
      </w:r>
    </w:p>
    <w:p>
      <w:r>
        <w:t>Die Vorinstanz ist demnach zu Recht gestützt auf Art. 31a Abs. 1 Bst. b AslyG auf das Asylgesuch nicht eingetreten und hat die Überstellung des Beschwerdeführers nach Österreich verfügt. Die Beschwerde ist abzuweisen.</w:t>
      </w:r>
    </w:p>
    <w:p>
      <w:r>
        <w:rPr>
          <w:b/>
        </w:rPr>
        <w:t>E. 9.1</w:t>
      </w:r>
    </w:p>
    <w:p>
      <w:r>
        <w:t>Der am 9. Dezember 2022 verfügte Vollzugsstopp fällt mit dem vorliegenden Urteil dahin.</w:t>
      </w:r>
    </w:p>
    <w:p>
      <w:r>
        <w:rPr>
          <w:b/>
        </w:rPr>
        <w:t>E. 9.2</w:t>
      </w:r>
    </w:p>
    <w:p>
      <w:r>
        <w:t>Mit dem Entscheid in der Hauptsache sind die Gesuche um Erteilung der aufschiebenden Wirkung und um Verzicht auf die Erhebung eines Kostenvorschusses gegenstandlos geworden.</w:t>
      </w:r>
    </w:p>
    <w:p>
      <w:r>
        <w:rPr>
          <w:b/>
        </w:rPr>
        <w:t>E. 9.3</w:t>
      </w:r>
    </w:p>
    <w:p>
      <w:r>
        <w:t>Das Gesuch um Gewährung der unentgeltlichen Prozessführung ist abzuweisen, da die Beschwerdebegehren - wie sich aus den vorstehenden Erwägungen ergibt - als aussichtslos zu bezeichnen waren, weshalb die Voraussetzungen von Art. 65 Abs. 1 VwVG nicht erfüllt sind.</w:t>
      </w:r>
    </w:p>
    <w:p>
      <w:r>
        <w:rPr>
          <w:b/>
        </w:rPr>
        <w:t>E. 9.4</w:t>
      </w:r>
    </w:p>
    <w:p>
      <w:r>
        <w:t>Die Verfahrenskosten in der Höhe von Fr. 750.- sind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