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D-5666/2017 vom 19. März 2018</w:t>
      </w:r>
    </w:p>
    <w:p>
      <w:r>
        <w:t>Bundesverwaltungsgericht, 2018-03-19, IT</w:t>
      </w:r>
    </w:p>
    <w:p>
      <w:r>
        <w:rPr>
          <w:b/>
        </w:rPr>
        <w:t xml:space="preserve">Quelle: </w:t>
      </w:r>
      <w:r>
        <w:t>https://mcp.opencaselaw.ch/entscheid/bvger_D-5666_2017</w:t>
      </w:r>
    </w:p>
    <w:p>
      <w:r>
        <w:t>FR: TAF D-5666/2017 du 19 mars 2018</w:t>
      </w:r>
    </w:p>
    <w:p>
      <w:r>
        <w:t>IT: TAF D-5666/2017 del 19 marzo 2018</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Pertanto sono legittimati ad aggravarsi contro di essa. I requisiti relativi ai termini di ricorso (art. 108 cpv. 2 LAsi), alla forma e al contenuto dell'atto di ricorso (art. 52 cpv. 1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3</w:t>
      </w:r>
    </w:p>
    <w:p>
      <w:r>
        <w:t>La SEM ha trattato la richiesta degli interessati del 23 agosto 2017 quale istanza di riesame ai sensi dell'art. 111b cpv. 1 LAsi.</w:t>
      </w:r>
    </w:p>
    <w:p>
      <w:r>
        <w:rPr>
          <w:b/>
        </w:rPr>
        <w:t>E. 3.1</w:t>
      </w:r>
    </w:p>
    <w:p>
      <w:r>
        <w:t>La domanda di riesame, definita come richiesta indirizzata ad un'autorità amministrativa in vista di una riconsiderazione della propria decisione (cfr. André Grisel, Traité de droit administratif, vol. II, 1984, pag. 947), è prevista dalla legge a partire dalla modifica della LAsi del 14 dicembre 2012, in vigore dal 1° febbraio 2014 (cfr. art. 111b cpv. 1 LAsi). Il rimedio straordinario in questione è tuttavia noto da tempo a giurisprudenza e dottrina, che l'avevano dedotto dall'art. 66 PA - il quale prevede la facoltà di domandare la revisione delle decisioni - e dall'art. 29 cpv. 1 e 2 Cost. (cfr. DTAF 2010/27 consid. 2.1 e relativi riferimenti). Secondo la giurisprudenza, un'autorità non è tenuta a trattare una tale richiesta a meno che essa costituisca una "domanda di riconsiderazione qualificata", vale a dire "una domanda di adattamento", ovvero nel caso in cui l'interessato si prevalga di un cambiamento notevole delle circostanze (di fatto o di diritto) dal momento della pronuncia della decisione materiale finale (inizialmente corretta) di prima o seconda istanza (DTAF 2014/39 consid. 4.5 ed ulteriori riferimenti; 2008/52 consid. 3.2.3; DTF 136 II 177 consid. 2.1; Karin Scherrer Reber, in: Praxiskommentar Verwaltungsverfahrensgesetz [VwVG], 2a ed., 2016, ad art. 66 n. 16 seg.). Oltremodo, laddove non sia stata avviata una procedura ricorsuale o quando quest'ultima si sia saldata con una decisione d'inammissibilità, il ricorrente può inoltre avvalersi, di fronte all'autorità di prima istanza, dei motivi di revisione previsti dall'art. 66 PA (cfr. DTAF 2010/27 consid. 2.1; Ursina Beerli-Bonorand, Die ausserodentlichen Rechtsmittel in der Verwaltungsrechtspflege des Bundes und der Kantone, 1985, pag. 173; Kölz/Häner/Bertschi, op. cit. n. 715 segg.). Secondo la giurisprudenza in ambito di revisione (applicabile per analogia in materia di riesame), i fatti nuovi devono essere rilevanti, vale a dire devono essere di natura tale da modificare la fattispecie alla base della decisione contestata e da condurre ad un giudizio diverso in funzione di un apprezzamento giuridico corretto. Per quanto concerne i mezzi di prova, gli stessi devono servire a comprovare i fatti nuovi che giustificano la revisione (in questo caso il riesame) oppure fatti già noti e allegati nel procedimento precedente, che tuttavia non avevano potuto essere provati, a discapito del richiedente (DTF 127 V 353 consid. 5b). Esclusi risultano dunque i mezzi di prova che avrebbero già potuto essere presentati nell'ambito della decisione in questione (cfr. art. 66 cpv. 3 PA p.a.; DTF 136 II 177 consid. 2.1 e relativi riferimenti; Giurisprudenza ed informazione della Commissione svizzera di ricorso in materia di asilo [GICRA] 2003 n. 17 consid. 2b e relativi riferimenti). Una prova deve essere considerata concludente quando bisogna ammettere che essa avrebbe condotto il giudice a statuire in modo diverso se egli ne avesse avuto conoscenza nella procedura principale (DTF 127 V 353 consid. 5b). In conclusione dunque, la domanda di riesame non può servire a rimettere continuamente in discussione le decisioni amministrative (DTF 136 II 177 consid. 2.1).</w:t>
      </w:r>
    </w:p>
    <w:p>
      <w:r>
        <w:rPr>
          <w:b/>
        </w:rPr>
        <w:t>E. 3.2</w:t>
      </w:r>
    </w:p>
    <w:p>
      <w:r>
        <w:t>Secondo la giurisprudenza in ambito di revisione (applicabile per analogia in materia di riesame), i fatti nuovi devono essere rilevanti, vale a dire devono essere di natura tale da modificare la fattispecie alla base della decisione contestata e da condurre ad un giudizio diverso in funzione di un apprezzamento giuridico corretto. Per quanto concerne i mezzi di prova, gli stessi devono servire a comprovare i fatti nuovi che giustificano la revisione (in questo caso il riesame) oppure fatti già noti e allegati nel procedimento precedente, che tuttavia non avevano potuto essere provati, a discapito del richiedente. Una prova deve essere considerata concludente quando bisogna ammettere che essa avrebbe condotto il giudice a statuire in modo diverso se egli ne avesse avuto conoscenza nella procedura principale. Una domanda di riesame non può inoltre servire a rimettere continuamente in discussione le decisioni amministrative. È decisiva la circostanza che il mezzo di prova non serva solamente all'apprezzamento dei fatti, ma alla determinazione degli stessi (DTF 127 V 353 consid. 5b pag. 358).</w:t>
      </w:r>
    </w:p>
    <w:p>
      <w:r>
        <w:rPr>
          <w:b/>
        </w:rPr>
        <w:t>E. 3.3</w:t>
      </w:r>
    </w:p>
    <w:p>
      <w:r>
        <w:t>Giusta l'art. 111b LAsi la domanda di riesame motivata dev'essere indirizzata per scritto alla SEM entro 30 giorni dalla scoperta del motivo di riesame. Tale termine risulta nella fattispecie rispettato.</w:t>
      </w:r>
    </w:p>
    <w:p>
      <w:r>
        <w:rPr>
          <w:b/>
        </w:rPr>
        <w:t>E. 3.4</w:t>
      </w:r>
    </w:p>
    <w:p>
      <w:r>
        <w:t>Con istanza di riesame gli interessati hanno richiesto alla SEM di riconsiderare la decisione, in particolare per motivi umanitari connessi alle condizioni di salute di F._______ ed alla situazione di fragilità del nucleo familiare. Essi richiedono segnatamente l'applicazione della clausola di sovranità e permettere, per motivi umanitari - in ragione della specificità e la capillarità delle misure già adottate in I._______, così come dell'impossibilità di trasferire la bambina - ai richiedenti di svolgere la procedura d'asilo in Svizzera. Avendo i richiedenti domandato l'adattamento di una decisione - inizialmente corretta - in seguito ad una modifica ulteriore dei fatti, è a giusto titolo che la SEM ha trattato l'istanza quale domanda di riesame (cfr. per la distinzione tra riesame e domanda multipla nelle procedure Dublino DTAF 2017 VI/5 consid. 4.3).</w:t>
      </w:r>
    </w:p>
    <w:p>
      <w:r>
        <w:rPr>
          <w:b/>
        </w:rPr>
        <w:t>E. 4</w:t>
      </w:r>
    </w:p>
    <w:p>
      <w:r>
        <w:t>È ora d'uopo determinare se vi siano fatti nuovi e rilevanti tali da giustificare la riconsiderazione della decisione della SEM del 13 febbraio 2017.</w:t>
      </w:r>
    </w:p>
    <w:p>
      <w:r>
        <w:rPr>
          <w:b/>
        </w:rPr>
        <w:t>E. 4.1</w:t>
      </w:r>
    </w:p>
    <w:p>
      <w:r>
        <w:t>Per ciò che concerne l'allegata esistenza di carenze sistemiche si rileva che gli interessati non allegano alcun cambiamento di circostanze avvenuto dopo la fine della prima procedura. Da una parte invero, a sostegno delle loro allegazioni i ricorrenti allegano dei documenti (cfr. doc. 7-14) che sono tutti risalenti a prima della decisione della SEM del 13 febbraio 2017 ed avrebbero dunque dovuto e potuto essere presentati nell'ambito del ricorso contro tale decisione. Di conseguenza, già solo per questo motivo, il riesame della decisione di decisione di prima istanza è escluso. Mentre dall'altra, si osserva che ad ogni modo le condizioni di accoglienza in Italia sono già state tenute debitamente in conto ed analizzate nella procedura precedente (cfr. anche la sentenza D-1360/2017 consid. 4). Malgrado le difficoltà a cui è confrontata l'Italia nella gestione dei migranti, come anche confermato dalla Corte EDU (cfr. segnatamente anche sentenza della Corte EDU Tarakhel contro Svizzera del 4 novembre 2014, 29217/12, §114 e decisione Jihana Ali e altri contro Svizzera e Italia del 27 ottobre 2016, 30474/14, §33) in Italia non sussistono carenze sistemiche e non vi è dunque ragione di applicare l'art. 3 par. 2 secondo comma Regolamento Dublino III (cfr. inoltre anche la DTAF 2017 VI/5 consid. 8.4). Di conseguenza, non essendo stati fatti valere dei nuovi elementi, non vi è motivo di scostarsi dalle valutazioni della decisione della SEM del 13 febbraio 2017.</w:t>
      </w:r>
    </w:p>
    <w:p>
      <w:r>
        <w:rPr>
          <w:b/>
        </w:rPr>
        <w:t>E. 4.2</w:t>
      </w:r>
    </w:p>
    <w:p>
      <w:r>
        <w:t>I ricorrenti rilevano in seguito che le garanzie fornite dalle autorità italiane non sarebbero sufficienti a garantire l'assistenza ed il supporto necessari alla famiglia. Per il trasferimento di un nucleo familiare la Corte EDU ha previsto la necessità di ottenere delle garanzie individuali inerenti non soltanto alla preservazione dell'unità della famiglia - come erroneamente allegato dai ricorrenti - ma bensì anche inerenti all'accoglimento del nucleo famigliare in strutture ed in condizioni adatte all'età dei bambini, al fine di assicurarsi, ritenuta la situazione generale in Italia, che i richiedenti non siano privati di un alloggio o siano alloggiati in strutture sovrappopolate in condizione di promiscuità, insalubrità e violenza (cfr. Tarakhel contro Svizzera §120). La stessa ha poi precisato in una decisione seguente riguardante il contenuto delle garanzie che le stesse sono da considerarsi sufficientemente individualizzate e concrete qualora i richiedenti vengano indicati con nome, età e comunità familiare ("nucleo familiare") e venga fatto riferimento (anche implicito) alle garanzie generali rilasciate dall'Italia e ciò malgrado sia indicato unicamente l'aeroporto di destinazione e non l'alloggio (cfr. decisione della Corte EDU Jihana Ali e altri contro Svizzera e Italia del 27 ottobre 2016, 30474/14, §34-35). Tale giurisprudenza ha dunque confermato la prassi stabilita dal Tribunale nelle DTAF 2015/4 e 2016/2 consid. 5. Alla luce delle suesposte condizioni, la SEM con decisione del 13 febbraio 2017 - confermata dalla sentenza D-1360/2017 consid. 5 - ha dunque ritenuto che essendo stati gli interessati riconosciuti dalle autorità italiane quale nucleo familiare ed essendo state riportate le loro generalità complete così come l'aeroporto di destinazione, le garanzie fornite erano da considerarsi sufficientemente concrete ed individualizzate e permettevano dunque di escludere un rischio di violazione dell'art. 3 CEDU. È stato inoltre rilevato che dall'aggiornamento periodico delle liste, può esserne dedotto che l'Italia è continuativamente impegnata a provvedere alla creazione di alloggi consoni alle famiglie Orbene nella domanda di riesame del 23 agosto 2017 e nel susseguente ricorso, gli interessati si sono confermati nelle loro argomentazioni facendo valere le medesime censure già presentate nel ricorso contro la decisione della SEM del 13 febbraio 2017 circa la concretezza delle garanzie e l'aggiornamento delle liste dei progetti SPRAR. Essi non hanno tuttavia fatto valere alcun cambiamento di circostanze né apportato alcun nuovo elemento. Essi si sono infatti limitati a ripetere che non essendo stato indicato l'alloggio, le garanzie non sono sufficientemente concrete e ciò malgrado sia stato più volte ribadito dalla SEM e dal Tribunale che tale indicazione non è necessaria per escludere una violazione dell'art. 3 CEDU. Inoltre, gli interessati allegano il mal funzionamento dei progetti SPRAR, ma come già rilevato in precedenza (cfr. supra consid. 4.1), i documenti forniti (doc. 8-14) avrebbero già dovuto e potuto essere presentati nel ricorso contro la decisione del 13 febbraio 2017. Di conseguenza, non risultano esservi motivi che, su questo punto, giustificano la riconsiderazione di tale provvedimento. A titolo puramente abbondanziale, il Tribunale aggiunge ad ogni modo che il timore degli interessati di venire alloggiati in un centro di prima accoglienza o in un centro (...) (in particolare quello di J._______, oggetto di report negativi) risulta da una mera supposizione di parte non fondata su alcun elemento concreto, dal momento che le garanzie italiane indicano espressamente che i richiedenti verranno alloggiati in un progetto SPRAR. Per quanto riguarda il numero di progetti SPRAR, si può infine osservare che esso risulta costantemente in aumento. A febbraio 2018 in M._______ vi erano (...) progetti per una disponibilità totale di (...) posti, tra cui (...) posti per persone con disagio mentale o disabilità fisica (cfr. I numeri dello SPRAR, febbraio 2018, http://www.sprar.it/i-numeri-dello-sprar , consultato il 08.03.2018). Ciò corrisponde ad un aumento di (...) posti totali e di (...) posti per persone con disagio mentale o disabilità fisica rispetto al 2016 (cfr. Rapporto sulla protezione internazionale in Italia 2016, http://www.cittalia.it/images/file/Rapporto%20protezione%20internazionale%202016.pdf &gt;, pag. 166 e 174, consultato il 08.03.2018).</w:t>
      </w:r>
    </w:p>
    <w:p>
      <w:r>
        <w:rPr>
          <w:b/>
        </w:rPr>
        <w:t>E. 4.3</w:t>
      </w:r>
    </w:p>
    <w:p>
      <w:r>
        <w:t>Dappoi, i ricorrenti rilevano che la SEM, ritenuto lo stato di salute di F._______, avrebbe dovuto applicare la clausola di sovranità. In particolare, essi ritengono che le misure di accompagnamento e di cura stabilite in I._______ (frequenza scolastica presso la Fondazione [...] di O._______, cure infermieristiche pediatriche a domicilio e fisioterapiche) - le quali avrebbero migliorato visibilmente le condizioni della bambina (cfr. doc. 2) - così come la necessità di una presa in carico in una struttura d'accoglienza medicalizzata (cfr. doc. 1) non sarebbero garantite in Italia. In primo luogo, si rileva che la possibilità di ottenere l'accompagnamento sociale e medico necessario, è già stata ampiamente esaminata dalla SEM e dal Tribunale nella sentenza D-1360/2017 (consid. 7). Gli interessati infatti - contrariamente a quanto allegato in sede ricorsuale - avevano già potuto produrre nella prima procedura i certificati medici (doc. 4 e 5) nonché il rapporto della Fondazione (...) (doc. 6), i quali erano stati trasmessi alla SEM per presa di posizione. Al riguardo, la SEM ed il Tribunale sono segnatamente giunti alla conclusione che non vi erano indizi per ritenere che il trasferimento comportasse una violazione dell'art. 3 CEDU. È stato infatti ritenuto che l'Italia dispone di infrastrutture mediche sufficienti per garantire le cure essenziali alla bambina. Oltracciò, tale Paese essendo firmatario della direttiva accoglienza deve provvedere affinché i richiedenti l'asilo ottengano la necessaria assistenza sanitaria (art. 19 par. 1 e 2 direttiva accoglienza). Infine, si è rilevato che non poteva essere imputabile alle autorità italiane il fatto di non aver ricevuto assistenza, dal momento che essi non hanno depositato una domanda d'asilo in Italia e non hanno dunque chiesto protezione. Il Tribunale rileva che tali considerazioni rimangono valide anche nella presente procedura di riesame e vengono pienamente confermate dal momento che anche su questo punto gli interessati hanno apportato nuovi elementi o fatto valere un cambiamento di circostanze. Invero, come rettamente ritenuto dall'autorità inferiore nel provvedimento qui impugnato, da una parte i documenti allegati (doc. 1 e 2) non attestano alcun peggioramento dello stato di salute di F._______, ma bensì un suo visibile miglioramento mentre dall'altra le misure di sostegno attuate per la bambina sono rimaste invariate dopo la fine della prima procedura. Di conseguenza, non essendo la bambina sottoposta ad un nuovo trattamento e non essendo il suo stato di salute peggiorato, non vi è motivo di scostarsi dalle precedenti considerazioni e ritenere che il trasferimento costituirà una violazione dell'art. 3 CEDU. Difatti, gli articoli descriventi la situazione di accoglienza in Italia risalgono a prima della decisione della SEM del 13 febbraio 2017 ed avrebbero dunque dovuto e potuto essere invocati già nella prima procedura ricorsuale. Infine, come già rilevato nelle decisioni della SEM del 13 febbraio 2017 e del 4 settembre 2017 così come nella sentenza del 28 giugno 2017, si ribadisce che le autorità saranno informate in merito alle condizioni di salute di F._______ ed in merito alle misure di accompagnamento e di assistenza di cui necessita, al fine di garantire una presa in carico ed un trasferimento efficace e celere dei ricorrenti alle strutture terapeutiche adatte ed evitare così l'interruzione delle misure di accompagnamento e dunque un peggioramento delle condizioni di salute della bambina.</w:t>
      </w:r>
    </w:p>
    <w:p>
      <w:r>
        <w:rPr>
          <w:b/>
        </w:rPr>
        <w:t>E. 4.4</w:t>
      </w:r>
    </w:p>
    <w:p>
      <w:r>
        <w:t>Infine, i ricorrenti ritengono che la SEM avrebbe dovuto applicare la clausola di sovranità in quanto essi risiedono in Svizzera da più di un anno e la mamma avrebbe cominciato a stringere relazioni anche importanti. Con tali argomentazioni essi fanno dunque riferimento ai motivi umanitari a norma dell'art. 29a cpv. 3 OAsi 1. Ai sensi di tale articolo, se "motivi umanitari" lo giustificano, la SEM può entrare nel merito della domanda anche qualora giusta il Regolamento Dublino III un altro Stato sarebbe competente per il trattamento della domanda (cfr. DTAF 2015/9). Nell'applicazione di tale disposizione l'autorità inferiore dispone di un reale potere di apprezzamento ed il Tribunale, a seguito dell'abrogazione dell'art. 106 cpv. 1 lett. c LAsi entrata in vigore il 1° febbraio 2014, dispone di un potere di esame ridotto (cfr. DTAF 2015/9 consid. 7 seg.). Esso può infatti unicamente esaminare se la SEM ha esercitato il suo potere di apprezzamento in modo conforme alla legge, ossia se l'autorità inferiore ha fatto uso di tale potere e se l'ha fatto secondo criteri oggettivi e trasparenti (cfr. DTAF 2015/9 consid. 8). Le considerazioni determinanti dell'autorità inferiore devono essere integrate nella motivazione della decisione ed è dunque necessario che la SEM indichi in maniera esplicita per quale ragione applica o meno la clausola di sovranità (cfr. ibidem). Qualora la decisione sia sostenibile tenuto conto dell'interpretazione della nozione di motivi umanitari e sia conforme ai principi costituzionali - quali il diritto di essere sentito, il principio della parità di trattamento ed il principio della proporzionalità - il Tribunale non può sostituire il suo libero apprezzamento a quello della SEM (cfr. ibidem). Nella fattispecie dagli atti non appaiono elementi per ritenere che l'autorità inferiore abbia esercitato in maniera arbitraria tale potere di apprezzamento e pertanto non vi è motivo di applicare la clausola discrezionale di cui all'art. 17 par. 1 (clausola di sovranità) Regolamento Dublino III.</w:t>
      </w:r>
    </w:p>
    <w:p>
      <w:r>
        <w:rPr>
          <w:b/>
        </w:rPr>
        <w:t>E. 5</w:t>
      </w:r>
    </w:p>
    <w:p>
      <w:r>
        <w:t>Visto quanto precede, la decisione su riesame del 4 settembre 2017 va confermata ed il ricorso deve essere respinto.</w:t>
      </w:r>
    </w:p>
    <w:p>
      <w:r>
        <w:rPr>
          <w:b/>
        </w:rPr>
        <w:t>E. 6</w:t>
      </w:r>
    </w:p>
    <w:p>
      <w:r>
        <w:t>Visto l'esito della procedura, le spese processuali che seguono la soccombenza, sarebbero da porre a carico dei ricorrenti (art. 63 cpv. 1 e 5 PA nonché art. 3 lett. b del regolamento sulle tasse e sulle spese ripetibili nelle cause dinanzi al Tribunale amministrativo federale del 21 febbraio 2008 [TS-TAF, RS 173.320.2]). Tuttavia, avendo il Tribunale accolto la domanda di concessione dell'assistenza giudiziaria con decisione incidentale del 5 dicembre 2017, non vengono prelevate spese processuali.</w:t>
      </w:r>
    </w:p>
    <w:p>
      <w:r>
        <w:rPr>
          <w:b/>
        </w:rPr>
        <w:t>E. 7</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