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D-5666/2010 vom 5. September 2012</w:t>
      </w:r>
    </w:p>
    <w:p>
      <w:r>
        <w:t>Bundesverwaltungsgericht, 2012-09-05, DE</w:t>
      </w:r>
    </w:p>
    <w:p>
      <w:r>
        <w:rPr>
          <w:b/>
        </w:rPr>
        <w:t xml:space="preserve">Quelle: </w:t>
      </w:r>
      <w:r>
        <w:t>https://mcp.opencaselaw.ch/entscheid/bvger_D-5666_2010</w:t>
      </w:r>
    </w:p>
    <w:p>
      <w:r>
        <w:t>FR: TAF D-5666/2010 du 5 septembre 2012</w:t>
      </w:r>
    </w:p>
    <w:p>
      <w:r>
        <w:t>IT: TAF D-5666/2010 del 5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Gemäss Erkenntnissen des Bundesverwaltungsgerichts (vgl. etwa Urteile des Bundesverwaltungsgerichts E-6024/2008 vom 30. April 2012; D-6863/2011 vom 5. April 2012,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CUDP/Kinijit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des Beschwerdeführers und dessen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4.2</w:t>
      </w:r>
    </w:p>
    <w:p>
      <w:r>
        <w:t>Anlässlich der Anhörung vom 10. Februar 2009 im Rahmen des zweiten Asylgesuchs machte der Beschwerdeführer geltend, seit Ende 2006 Mitglied der Kinijit zu sein. Einen speziellen Rang nehme er in der Partei nicht ein, aber er nehme Koordinationsaufgaben in dem ihm zugewiesenen Kanton wahr. Er informiere die Mitglieder der Partei über bevorstehende Demonstrationen, bereite Plakate vor, leiste Hilfe bei der Organisation von Kundgebungen und nehme an Sitzungen teil. Hinsichtlich der Vorbereitung beziehungsweise der Beschriftung von Plakaten präzisierte er, solche für Kundgebungen zweimal, letztmals am 14. Januar 2008, beschriftet zu haben, ansonsten habe er auch Plakate anlässlich von Sitzungen an die Wände geklebt. Die Frage, was für Slogans jeweils auf die Plakate geschrieben worden seien, beantwortete er dahingehend, dass er dies vergessen habe, weil es auf Deutsch gewesen sei. Bei den Kundgebungen habe er keine spezielle Funktion gehabt; er sei ganz normal wie alle anderen mitgegangen. Der Kinijit sei er beigetreten, weil diese Organisation Gegnerin der jetzigen Regierung sei und der eine Flügel nach Spaltung der Partei wie er mit friedlichen Mitteln kämpfen würden, um die Probleme zu lösen. Für irgendwelche andere Organisationen oder Parteien sei er in der Schweiz nicht tätig. Auf die eingereichte Mitgliedsbestätigung bei der AES und sein in diesem Schreiben erwähntes politisches Engagement in der Befragung angesprochen, erwiderte er, die AES sei bloss ein äthiopischer Verein und keine politische Organisation, für die er nichts mache (Akte gemäss BFM: B 21 S. 3, 4 und 5). Zur Untermauerung seines exilpolitischen Engagements fanden diverse Fotos im Zusammenhang mit seiner Teilnahme an Veranstaltungen der Kinijit vom 1. November 2006, 4. Juli und 4. Oktober 2007 sowie seiner Teilnahme an zwei weiteren Protestkundgebungen vom 2. März und 15. Mai 2009 Eingang in die Akten. Ferner reichte der Beschwerdeführer ein Bestätigungsschreiben des Präsidenten der CUDP Unterstützungsorganisation in der Schweiz und eines der Vizepräsidentin der AES ein (vgl. Eingaben vom 24. Oktober 2007 und 27. Mai 2009; Bst. C und J hiervor).</w:t>
      </w:r>
    </w:p>
    <w:p>
      <w:r>
        <w:rPr>
          <w:b/>
        </w:rPr>
        <w:t>E. 4.3</w:t>
      </w:r>
    </w:p>
    <w:p>
      <w:r>
        <w:t>Beim exilpolitischen Engagement in dem vom Beschwerdeführer geltend gemachten Ausmass kann mit überwiegender Wahrscheinlichkeit ausgeschlossen werden, dass er ins Zentrum des Interesses der äthiopischen Sicherheitsbehörden gerückt ist. Der Beschwerdeführer hat sich exilpolitisch mit seinen untergeordneten Tätigkeiten (vgl. E. 4.1) nicht exponiert, weshalb er mit Sicherheit nicht zur Zielgruppe des "harten Kerns" von aktiven oppositionellen Äthiopiern oder Äthiopierinnen im Ausland ge­hört, für die sich die äthiopischen Behörden interessieren. Aus den eingereichten Bestätigungen geht - ausser der Teilnahme an Demonstrationen - nicht hervor, welche individuellen und allenfalls den äthiopischen Behör­den auffallenden Beiträge der Beschwerdeführer geleistet haben soll. Auch hat der Beschwerdeführer im Rahmen des ersten rechtskräftig abgeschlossenen Asylverfahrens keine politisch motivierte Verfolgung glaubhaft machen können. Den in diesem Zusammenhang in der ursprünglichen Verfügung des BFM ergangenen Erwägungen schloss sich die ARK in ihrem Urteil vom 17. Mai 2006 vollumfänglich an (S. 5 und 6 des diesbezüglichen Urteils). Die zu den Akten gereichten Fotos vermögen nichts an dieser Einschätzung zu ändern, zumal die Behauptung diese Fotos seien auf den einschlägigen Internetseiten erschienen, gänzlich unsubstanziiert blieb. Hinsichtlich der geltend gemachten Anklage wegen Genozids in Äthiopien kann auf die zutreffenden, in den Akten Stütze findenden Ausführungen des BFM in der angefochtenen Verfügung verwiesen werden.</w:t>
      </w:r>
    </w:p>
    <w:p>
      <w:r>
        <w:rPr>
          <w:b/>
        </w:rPr>
        <w:t>E. 4.4</w:t>
      </w:r>
    </w:p>
    <w:p>
      <w:r>
        <w:t>Insgesamt ist festzustellen, dass die exilpolitischen Aktivitäten des Beschwerdeführers - entgegen den Darstellungen des Rechtsvertreters in den diversen Eingaben - nicht in einem für den äthiopischen Staat wahrnehmbaren Ausmass erfolgt sind. Selbst bei der geringen Wahrscheinlichkeit, dass die äthiopischen Behörden von den exilpolitischen Aktivitäten des Beschwerdeführers Kenntnis erlangt hätten, ist aufgrund seines niedrigen politischen Profils nicht anzunehmen, dass er für das äthiopische Regime eine konkrete und politisch ernsthafte Gefährdung darstellen würde. Er müsste bei einer Rückkehr nach Äthiopien nicht mit einer flüchtlingsrechtlich relevanten Verfolgung rechnen. Angesichts dieser Sachlage erübrigen sich weitere Erörterungen.</w:t>
      </w:r>
    </w:p>
    <w:p>
      <w:r>
        <w:rPr>
          <w:b/>
        </w:rPr>
        <w:t>E. 4.5</w:t>
      </w:r>
    </w:p>
    <w:p>
      <w:r>
        <w:t>Unter Berücksichtigung der gesamten Umstände folgt, dass keine subjektiven Nachfluchtgründe im Sinne von Art. 54 AsylG vorliegen, weshalb das BFM zu Recht die Flüchtlingseigenschaft des Beschwerdeführers verneint und das Asylgesuch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6.4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Dem Antrag des Beschwerdeführers um Koordination des vorliegenden Beschwerdeverfahrens mit demjenigen seiner Lebenspartnerin und des gemeinsamen Kindes wurde Rechnung getragen (vgl. Bst. N hiervor). Ein Urteil ergeht in beiden Verfahren zum selben Zeitpunkt. Mithin kann der Beschwerdeführer unter dem Gesichtspunkt von Art. 8 EMRK, Art. 3 des Übereinkom­mens vom 20. November 1989 über die Rechte des Kindes (SR 0.107) oder Art. 44 Abs. 1 AsylG (Einheit der Familie) nichts zu seinen Gunsten ableiten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In Äthiopien herrscht kein Krieg, Bürgerkrieg oder eine Situation allgemeiner Gewalt.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Das Bundesverwaltungsgericht geht daher in konstanter Praxis von der grundsätzlichen Zumutbarkeit des Wegweisungsvollzuges nach Äthiopien aus.</w:t>
      </w:r>
    </w:p>
    <w:p>
      <w:r>
        <w:rPr>
          <w:b/>
        </w:rPr>
        <w:t>E. 6.5.2</w:t>
      </w:r>
    </w:p>
    <w:p>
      <w:r>
        <w:t>Zu berücksichtigen gilt es allerdings, dass die Lebensumstände für den Grossteil der am oder unter dem Existenzminimum lebenden Bevölkerung Äthiopiens (Einkommen, Ernährungssicherung, Gesundheit, Bildung, Wohnraumversorgung) als prekär zu erachten sind. Die Existenzbedingungen sind für die Mehrheit der Bevölkerung äusserst hart. Immer mehr Haushalte auch im städtischen Bereich fallen unter die Armutsgrenze, so dass sie nicht mehr in der Lage sind, die zum Überle­ben notwendi­gen Nahrungsmittel zu erwerben. Zum Aufbau einer siche­ren Existenz sind somit ausreichend finanzielle Ressourcen und gut ver­marktbare berufliche Fähigkeiten sowie intakte familiäre und soziale Netz­werke nötig. Insbesondere für alleinstehende und zurückkehrende Frauen ist es nicht leicht, sich sozial und wirtschaftlich wieder zu reintegrieren. Nicht verheiratete und allein lebende Frauen werden von der Gesellschaft - auch der städtischen - nicht akzeptiert. Eine Wohnung zu finden ist für sie in der Regel nur über Bekannte möglich und die Arbeitslosigkeit von Frauen wird beispielsweise in Addis Abeba auf 40 bis 55% geschätzt (vgl. BVGE 2011/25 E. 8.4).</w:t>
      </w:r>
    </w:p>
    <w:p>
      <w:r>
        <w:rPr>
          <w:b/>
        </w:rPr>
        <w:t>E. 6.5.3</w:t>
      </w:r>
    </w:p>
    <w:p>
      <w:r>
        <w:t>Hinsichtlich der persönlichen Situation des Beschwerdeführers sind keine Gründe ersichtlich, die gegen einen Vollzug der Wegweisung unter dem Zumutbarkeitsaspekt sprechen würden. Bereits mit Urteil der ARK vom 17. Mai 2006, worauf zur Vermeidung von Wiederholungen zu verweisen ist, wurde der Vollzug nach Äthiopien aufgrund diverser Kriterien (u.a. Alter, Gesundheit, Berufserfahrung, soziales Beziehungsnetz) als zumutbar erachtet (vgl. diesbezügliches Urteil S. 7). Ausser dem Alter, den in der Schweiz gesammelten Erfahrungen im Erwerbsleben und den zwischenzeitlich eingetretenen (familiären) Umständen des Beschwerdeführers präsentieren sich die für einen Vollzug der Wegweisung sprechen­den Voraussetzungen gegenüber dem erwähnten Urteil unverändert. Weder sind den Akten Anhaltspunkte für Wegweisungshindernisgründe zu entnehmen noch macht der Beschwerdeführer solche geltend, was er im Rahmen der ihm obliegenden Mitwirkungspflicht (Art. 8 AsylG) ins Verfahren hätte einbringen können/müssen. Was sodann einen allfälligen Wegweisungsvollzug seiner Lebenspartnerin und des gemeinsamen Kindes anbelangt ist auf das diesbezüglich zum gleichen Zeitpunkt ergehende Urteil zu verweisen, welches dem gleichen Rechtsvertreter wie dem Beschwerdeführer im vorliegenden Verfahren zugestellt wird. Die lediglich eine Rückkehr des Beschwerdeführers nach Äthiopien in Abrede stellenden Ausführungen in der Beschwerde sind als nicht näher belegte Behauptungen zurückzuweisen. Ferner ist auf die Rückkehrhilfe der Schweiz hinzuweisen, welche ihm im Bedarfsfall den Wiedereinstieg in seiner Heimat ebenfalls erleichtern dürfte (vgl. Art 91 Abs 1 Bst. d AsylG sowie Art. 74 der Asylverordnung 2 vom 11. August 1999 [AsylV 2, SR 142.312]). Festzuhalten bleibt letztlich, dass blosse soziale und wirtschaftliche Schwierigkeiten, von denen die ansässige Bevölkerung im Allgemeinen betroffen ist, wie beispielsweise Wohnungsnot oder ein schwieriger Arbeitsmarkt, in der Regel für sich alleine noch keine konkrete Gefährdung im Sinne von Art. 83 Abs. 4 AuG darstellen (vgl. BVGE 2010/41 E. 8.3.6 S. 591 f., EMARK 2005 Nr. 24 E. 10.1 S. 215, EMARK 2003 Nr. 24 E. 5e S. 159). Nach dem Gesagten erweist sich der Vollzug der Wegweisung nicht als unzumutbar.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Instruktionsverfügung vom 12. August 2010 wurde das Gesuch um Gewährung der unentgeltlichen Rechtspflege im Sinne von Art. 65 Abs. 1 VwVG unter Vorbehalt einer nachträglichen Änderung der finanziellen Verhältnisse des Beschwerdeführers gutgeheissen (vgl. Bst. N hiervor). Der Beschwerdeführer ist gemäss Abklärungen seit dem 1. Oktober 2011 als Küchenhilfe und seit Juli dieses Jahres als Office-Angestellter in der Gastronomie erwerbstätig. Aufgrund der nicht allzu langen Zeitdauer der Erwerbsaufnahme, der Art der ausgeübten Tätigkeit und in Berücksichtigung des vorliegenden Einzelfalles ist zugunsten des Beschwerdeführers aktuell davon auszugehen, dass er prozessual bedürftig ist. Auf die Auferlegung von Verfahrenskosten ist demnach zu verzichten (vgl. auch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