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D-5665/2017 vom 13. März 2018</w:t>
      </w:r>
    </w:p>
    <w:p>
      <w:r>
        <w:t>Bundesverwaltungsgericht, 2018-03-13, DE</w:t>
      </w:r>
    </w:p>
    <w:p>
      <w:r>
        <w:rPr>
          <w:b/>
        </w:rPr>
        <w:t xml:space="preserve">Quelle: </w:t>
      </w:r>
      <w:r>
        <w:t>https://mcp.opencaselaw.ch/entscheid/bvger_D-5665_2017</w:t>
      </w:r>
    </w:p>
    <w:p>
      <w:r>
        <w:t>FR: TAF D-5665/2017 du 13 mars 2018</w:t>
      </w:r>
    </w:p>
    <w:p>
      <w:r>
        <w:t>IT: TAF D-5665/2017 del 13 marzo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mit nachfolgender Ausnahme, einzutreten.</w:t>
      </w:r>
    </w:p>
    <w:p>
      <w:r>
        <w:rPr>
          <w:b/>
        </w:rPr>
        <w:t>E. 1.3</w:t>
      </w:r>
    </w:p>
    <w:p>
      <w:r>
        <w:t>Der Eventualantrag auf Verlängerung der Ausreisefrist betrifft eine Vollzugsmodalität, welche nicht Gegenstand des Beschwerdeverfahrens ist. Auf den entsprechenden Antrag ist folglich nicht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Eingangs ist zu erwähnen, dass dem Beschwerdeführer aufgrund des Schriftenwechsels hinreichend Gelegenheit geboten wurde, seine gesundheitlichen Probleme mit entsprechenden Dokumenten zu belegen. Entsprechende Berichte wurden denn auch mit der Replik eingereicht. Es ist deshalb keine separate Frist zur Einreichung weiterer Berichte anzuberaumen.</w:t>
      </w:r>
    </w:p>
    <w:p>
      <w:r>
        <w:rPr>
          <w:b/>
        </w:rPr>
        <w:t>E. 3.2</w:t>
      </w:r>
    </w:p>
    <w:p>
      <w:r>
        <w:t>Ferner hat das SEM den Sachverhalt betreffend die medizinischen Probleme des Beschwerdeführers hinreichend abgeklärt und die psychischen Leiden in die Begründung einbezogen, weshalb dem SEM weder eine mangelhafte Sachverhaltsermittlung noch eine Verletzung der Begründungspflicht vorgeworfen werden kann. Der Antrag auf Rückweisung der Sache an die Vorinstanz ist folglich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Drittstaatsangehörigen oder einen Staatenlosen, der seinen Antrag während der Antragsprüfung zurückgezogen und in einem anderen Mitgliedstaat einen Antrag gestellt hat oder der sich ohne Aufenthaltstitel im Hoheitsgebiet eines anderen Mitgliedstaats aufhält, nach Massgabe der Artikel 23, 24, 25 und 29 wieder aufzunehmen (Art. 18 Abs. 1 Bst. c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14. Februar 2017 und am 9. Mai 2017 in Rumänien und am 17. März 2017 in Polen ein Asylgesuch eingereicht hatte. Das SEM ersuchte deshalb die rumänischen Behörden am 28. Juli 2017 um Wiederaufnahme des Beschwerdeführers gestützt auf Art. 23 oder 24 Dublin-III-VO. Die rumänischen Behörden stimmten dem Gesuch um Übernahme am 9. August 2017 zu.</w:t>
      </w:r>
    </w:p>
    <w:p>
      <w:r>
        <w:rPr>
          <w:b/>
        </w:rPr>
        <w:t>E. 5.2</w:t>
      </w:r>
    </w:p>
    <w:p>
      <w:r>
        <w:t>Der Beschwerdeführer bestreitet nicht, in Rumänien ein Asylgesuch eingereicht zu haben. Er macht aber geltend, dass er bei seinem Bruder (E._______, N [...], nachfolgend Bruder), welcher als anerkannter Flüchtling in der Schweiz lebe, verbleiben wolle. Er beruft sich somit auf Art. 16 Abs. 1 Dublin-III-VO. Gemäss dieser Bestimmung ist die Schweiz zuständig für die Durchführung des Asylverfahrens, wenn der Beschwerdeführer auf die Unterstützung eines Familienangehörigen, welcher sich rechtmässig in der Schweiz aufhält, angewiesen ist.</w:t>
      </w:r>
    </w:p>
    <w:p>
      <w:r>
        <w:rPr>
          <w:b/>
        </w:rPr>
        <w:t>E. 5.3</w:t>
      </w:r>
    </w:p>
    <w:p>
      <w:r>
        <w:t>Betreffend Art. 16 Abs. 1 Dublin-III-VO ist vorab festzuhalten, dass es sich bei dieser Bestimmung nicht um das sogenannte Selbsteintrittsrecht der Schweiz handelt, welches ihr ein Ermessen zur Ausübung einräumt. Jenes ist in Art. 17 Dublin-III-VO geregelt. Bei Art. 16 Abs. 1 Dublin-III-VO handelt es sich um eine Bestimmung, worin die wesentlichsten Lebenssachverhalte genannt werden, die eine Person in einer solchen Weise verletzlich machen können, dass die Zusammenführung mit bestimmten Bezugspersonen zur humanitären Pflicht wird. Der Ermessensspielraum der entscheidenden Behörde wird für die darin bezeichneten Umstände mithin derart verengt, dass es für sie bei einer solchen Konstellation nur noch eine rechtmässige Lösung (nämlich: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(vgl. dazu und zum Nachfolgenden Urteil des BVGer D-1416/2016 vom 19. Juli 2016 E. 6 m.w.H.).</w:t>
      </w:r>
    </w:p>
    <w:p>
      <w:r>
        <w:rPr>
          <w:b/>
        </w:rPr>
        <w:t>E. 5.4</w:t>
      </w:r>
    </w:p>
    <w:p>
      <w:r>
        <w:t>Zur Bewertung des geforderten Abhängigkeitsverhältnisses sollen nach Möglichkeit objektive Schriftstücke (z.B. ärztliche Atteste) herangezogen werden, bei deren Abwesenheit die Beteiligten die Hilfsbedürftigkeit durch entsprechende Angaben glaubhaft machen müssen (vgl. Art. 11 Abs. 2 der Verordnung [EG] Nr. 1560/2013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Asylantrages zuständig ist).</w:t>
      </w:r>
    </w:p>
    <w:p>
      <w:r>
        <w:rPr>
          <w:b/>
        </w:rPr>
        <w:t>E. 5.5</w:t>
      </w:r>
    </w:p>
    <w:p>
      <w:r>
        <w:t>Die vorliegend relevanten Voraussetzungen von Art. 16 Abs. 1 Dublin-III-VO sind das Bestehen eines Abhängigkeitsverhältnisses der asylsuchenden Person aufgrund schwerer Krankheit von Familienangehörigen (unter anderem Geschwister), welche sich rechtmässig in einem Mitgliedstaat aufhalten, sofern die familiäre Bindung bereits im Herkunftsland bestanden hat, und das Familienmitglied in der Lage ist, die abhängige Person zu unterstützen und die betroffenen Personen ihren Wunsch schriftlich kundgetan haben.</w:t>
      </w:r>
    </w:p>
    <w:p>
      <w:r>
        <w:rPr>
          <w:b/>
        </w:rPr>
        <w:t>E. 5.6</w:t>
      </w:r>
    </w:p>
    <w:p>
      <w:r>
        <w:t>Beim Beschwerdeführer und seinem in der Schweiz wohnhaften Bruder handelt es sich um Geschwister, welche ausdrücklich vom Anwendungsbereich von Art. 16 Abs. 1 Dublin-III-VO erfasst sind. Diese familiäre Bindung hat zudem (bei einem blutsverwandten Geschwisterteil in der Regel naturgemäss) bereits im Herkunftsstaat bestanden. Ferner haben der Beschwerdeführer und sein Bruder den Wunsch, dass das Asylgesuch in der Schweiz geprüft werde, schriftlich kundgetan. Der Bruder verfügt ferner als Flüchtling mit Asylstatus und einer Aufenthaltsbewilligung "B" über einen rechtmässigen Aufenthalt in der Schweiz.</w:t>
      </w:r>
    </w:p>
    <w:p>
      <w:r>
        <w:rPr>
          <w:b/>
        </w:rPr>
        <w:t>E. 5.7</w:t>
      </w:r>
    </w:p>
    <w:p>
      <w:r>
        <w:t>Das SEM hat jedoch zu Recht das Vorliegen eines Abhängigkeitsverhältnisses verneint. Gemäss Arztbericht (...) verfüge der Beschwerdeführer - gemäss eigenen Angaben - nebst seinem Bruder über keine schützenden Faktoren in der Schweiz. Im Austrittsbericht vom (...) wird erwähnt, dass der Beschwerdeführer die Klinik im Beisein seines Bruders verlassen habe. Daraus ergibt sich noch kein Abhängigkeitsverhältnis, zumal weitere Anhaltspunkte, wonach der Beschwerdeführer zur Bewältigung des Alltags auf die Hilfe seines Bruders angewiesen sei. Der Umstand, dass der Bruder den Beschwerdeführer bei der Bewältigung seiner psychischen Probleme offenbar unterstützt, reicht dafür nicht aus. Auch aus den Ausführungen in den Beschwerdeeingaben lässt sich kein solches Abhängigkeitsverhältnis ableiten.</w:t>
      </w:r>
    </w:p>
    <w:p>
      <w:r>
        <w:rPr>
          <w:b/>
        </w:rPr>
        <w:t>E. 5.8</w:t>
      </w:r>
    </w:p>
    <w:p>
      <w:r>
        <w:t>Die grundsätzliche Zuständigkeit Rumäniens ist somit gegeben.</w:t>
      </w:r>
    </w:p>
    <w:p>
      <w:r>
        <w:rPr>
          <w:b/>
        </w:rPr>
        <w:t>E. 6.1</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6.2</w:t>
      </w:r>
    </w:p>
    <w:p>
      <w:r>
        <w:t>Ferner ist die Anwendung der Ermessensklausel von Art. 17 Abs. 1 Dublin-III-VO, respektive der - das Selbsteintrittsrecht im Landesrecht konkretisierenden - Bestimmung von Art. 29a Abs. 3 AsylV 1 zu prüfen, gemäss welcher das SEM das Asylgesuch "aus humanitären Gründen" auch dann behandeln kann, wenn dafür gemäss Dublin-III-VO ein anderer Staat zuständig wäre.</w:t>
      </w:r>
    </w:p>
    <w:p>
      <w:r>
        <w:rPr>
          <w:b/>
        </w:rPr>
        <w:t>E. 6.3</w:t>
      </w:r>
    </w:p>
    <w:p>
      <w:r>
        <w:t>Rumänien ist Signatarstaat der EMRK, des FoK und der FK sowie des Zusatzprotokolls der FK vom 31. Januar 1967 (SR 0.142.301) und kommt seinen diesbezüglichen völkerrechtlichen Verpflichtungen nach. Es darf davon ausgegangen werden, dieser Staat anerkenne und schütze die Rechte, die sich für Schutzsuchende aus der Verfahrensrichtlinie sowie der Aufnahmerichtlinie ergeben (vgl. etwa Urteile des BVGer D-7213/2017 vom 4. Januar 2018 und E-6221/2017 vom 22. Dezember 2017 E. 6.5.1.). Unter diesen Umständen ist die Anwendung von Art. 3 Abs. 2 Dublin-III-VO nicht gerechtfertigt.</w:t>
      </w:r>
    </w:p>
    <w:p>
      <w:r>
        <w:rPr>
          <w:b/>
        </w:rPr>
        <w:t>E. 6.4</w:t>
      </w:r>
    </w:p>
    <w:p>
      <w:r>
        <w:t>Der Beschwerdeführer hat kein konkretes und ernsthaftes Risiko dargetan, die rumänischen Behörden würden sich weigern, ihn wieder aufzunehmen und seinen Antrag auf internationalen Schutz unter Einhaltung der Regeln der Verfahrensrichtlinie zu prüfen. Den Akten sind denn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Einwand auf Beschwerdeebene, die rumänischen Behörden würden ihn ohne Prüfung seines Asylgesuchs in die Türkei zurückschicken, und als er von Polen nach Rumänien geschickt worden sei, habe bereits ein Ticket auf dem Tisch gelegen, ist nicht glaubhaft. So gab der Beschwerdeführer selbst an, in Rumänien sei bisher noch nicht über sein Asylgesuch befunden worden (vgl. BzP Ziff. 2.06). Zudem fügte er an, dass er zweimal das Zentrum, in welchem er in Rumänien untergebracht worden sei, unerlaubt verlassen habe, um seine Reise in die Schweiz fortsetzen zu können (vgl. BzP Ziff. 5.02). Auch aus dem Antwortschreiben der rumänischen Behörden auf die Dublin-Anfrage ergibt sich, dass bei beiden Asylgesuchen ein entsprechendes Verfahren eröffnet worden ist, welches jeweils aufgrund seines Untertauchens abgeschrieben worden ist. Wieso die rumänischen Behörden ihn bei der Rückkehr aus Polen wieder in eine Asylunterkunft verbracht und ein neues Verfahren eröffnet hätten, wenn das Ticket für die Rückschaffung bereits auf dem Tisch gelegen habe, ergibt keinen Sinn. Der Einwand, es seien bereits mehrere Kurden von Rumänien in die Türkei zurückgeschafft worden, überzeugt nicht. Eine solche Gefahr lässt sich nicht aus dem Hinweis betreffend Herrn C._______ ableiten, zumal sich aus einem Einzelfall, nur sehr beschränkt Rückschlüsse auf einen anderen Fall ziehen lassen. Der eingereichte Zeitungsbericht vom 30. Januar 2017, in welchem der türkische Justizminister die rumänischen Behörden gelobt habe, bezieht sich auf Auslieferungsfälle. Ein Auslieferungsverfahren ist betreffend den Beschwerdeführer - soweit aus den Akten ersichtlich - nicht hängig. Zudem lässt sich aus dem Umstand einer erfolgten Auslieferung ohnehin nicht zwingend darauf schliessen, dass diese ohne Prüfung der Asylgründe erfolgt ist. Ausserdem hat der Beschwerdeführer nicht dargetan, die ihn bei einer Rückführung erwartenden Bedingungen in Rumänien seien derart schlecht, dass sie zu einer Verletzung von Art. 4 der EU-Grundrechtecharta, Art. 3 EMRK oder Art. 3 FoK führen könnten. Es liegen keine konkreten Hinweise dafür vor, dass Rumänien ihm dauerhaft die ihm gemäss Aufnahmerichtlinie zustehenden minimalen Lebensbedingungen vorenthalten würde. Bei einer allfälligen vorübergehenden Einschränkung könnte er sich im Übrigen nötigenfalls an die rumänischen Behörden wenden und die ihm zustehenden Aufnahmebedingungen auf dem Rechtsweg einfordern (vgl. Art. 26 Aufnahmerichtlinie).</w:t>
      </w:r>
    </w:p>
    <w:p>
      <w:r>
        <w:rPr>
          <w:b/>
        </w:rPr>
        <w:t>E. 6.5</w:t>
      </w:r>
    </w:p>
    <w:p>
      <w:r>
        <w:t>Der Beschwerdeführer beruft sich darauf, sein Gesundheitszustand stehe einer Überstellung entgegen; gemäss medizinischem Bericht vom (...) leide er an einer mittelgradigen depressiven Episode; gemäss Bericht vom (...) an einer Posttraumatischen Belastungsstörung. Damit macht der Beschwerdeführer geltend, die Überstellung nach Rumänien setze ihn einer Gefahr für seine Gesundheit aus und verletze damit Art. 3 EMRK.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ärztlichen Berichte weisen zwar darauf hin, dass der Beschwerdeführer einer psychologischen Betreuung bedarf. Sie lassen aber nicht auf eine derart schwere psychische Erkrankung schliessen, dass seine Rückkehr nach Rumänien zu einer lebensgefährdenden Beeinträchtigung seines Gesundheitszustandes führen würde. Es kann ferner davon ausgegangen werden, dass eine adäquate medizinische Behandlung im Zielstaat Rumänien sichergestellt werden kann, da Rumänien über eine ausreichende medizinische Infrastruktur verfügt (vgl. Urteil des BVGer E-6221/2017 vom 22. Dezember 2017 E. 9.2.2). Rumänien ist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Rumänien dem Beschwerdeführer eine adäquate medizinische Behandlung verweigern würde. Der Einwand, in Rumänien sei er nicht hinreichend medizinisch betreut worden und habe nach einer Panikattacke nur ein Glas Wasser erhalten, vermag nicht zum gegenteiligen Schluss zu führen. So erwähnte der Beschwerdeführer die angebliche Weigerung der rumänischen Behörden, ihn zu behandeln, in der BzP nicht. Zudem hat er sich jeweils nach einem kurzen Aufenthalt in Rumänien aus dem Asylzentrum entfernt, wodurch er eine medizinische Betreuung durch die rumänischen Behörden verunmöglichte. Schliesslich ist noch zu erwähnen, dass ein medizinisches Rückkehrhindernis nicht bereits dann zu bejahen ist, wenn im betreffenden Staat eine nicht dem schweizerischen Standard entsprechende medizinische Behandlung möglich ist. Dem geltend gemachten Risiko einer schwerwiegenden Dekompensation und Suizidalität kann mit einer gut organisierten und medizinisch vorbereiteten Reise, in welcher allenfalls auch auf dem Flug psychiatrische Betreuung vorhanden ist, entgegengewirkt werden. Es obliegt dem SEM, den gesundheitlichen Problemen des Beschwerdeführers bei der Organisation der konkreten Überstellungsmodalitäten Rechnung zu tragen. Schliesslich kann auch darauf hingewiesen werden, dass der Beschwerdeführer beim SEM ein Gesuch um medizinische Rückkehrhilfe im Sinn von Art. 75 der Asylverordnung 2 vom 11. August 1999 (AsylV 2, SR 142.312) stellen kann. Der Gesundheitszustand des Beschwerdeführers vermag eine Unzulässigkeit im Sinne dieser restriktiven Rechtsprechung nicht zu rechtfertigen.</w:t>
      </w:r>
    </w:p>
    <w:p>
      <w:r>
        <w:rPr>
          <w:b/>
        </w:rPr>
        <w:t>E. 6.6</w:t>
      </w:r>
    </w:p>
    <w:p>
      <w:r>
        <w:t>Die Einwände des Beschwerdeführers vermögen auch unter dem Blickwinkel humanitärer Gründe, keine Zuständigkeit der Schweiz zu begründen.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6.7</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6.8</w:t>
      </w:r>
    </w:p>
    <w:p>
      <w:r>
        <w:t>Somit bleibt Rumänien der für die Behandlung der Asylgesuche des Beschwerdeführers zuständige Mitgliedstaat gemäss Dublin-III-VO. Rumänien ist verpflichtet, das Asylverfahren gemäss Art. 23, 24, 25 und 29 wiederaufzunehmen.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9</w:t>
      </w:r>
    </w:p>
    <w:p>
      <w:r>
        <w:t>Nach dem Gesagten ist die Beschwerde abzuweisen, soweit darauf einzutreten ist.</w:t>
      </w:r>
    </w:p>
    <w:p>
      <w:r>
        <w:rPr>
          <w:b/>
        </w:rPr>
        <w:t>E. 10</w:t>
      </w:r>
    </w:p>
    <w:p>
      <w:r>
        <w:t>Bei diesem Ausgang des Verfahrens wären die Kosten grundsätzlich dem Beschwerdeführer aufzuerlegen (Art. 63 Abs. 1 VwVG). Nachdem der Beschwerdeführer mit der Replik eine Fürsorgebestätigung nachreichte, ist die unentgeltliche Prozessführung gemäss Art. 65 Abs. 1 VwVG zu gewähren, weshalb keine Verfahrenskosten zu erheben.</w:t>
      </w:r>
    </w:p>
    <w:p>
      <w:r>
        <w:rPr>
          <w:b/>
        </w:rPr>
        <w:t>E. 11.1</w:t>
      </w:r>
    </w:p>
    <w:p>
      <w:r>
        <w:t>Der Beschwerdeführer ersuchte um Gewährung der amtlichen Rechtsverbeiständung. Gemäss Art. 65 Abs. 2 VwVG wird einer mittellosen Partei, soweit es zur Wahrung ihrer Rechte notwendig ist, in einem nicht aussichtslosen Verfahren eine Anwältin oder ein Anwalt bestellt.</w:t>
      </w:r>
    </w:p>
    <w:p>
      <w:r>
        <w:rPr>
          <w:b/>
        </w:rPr>
        <w:t>E. 11.2</w:t>
      </w:r>
    </w:p>
    <w:p>
      <w:r>
        <w:t>Die Mittellosigkeit ist durch die nachgereichte Fürsorgebestätigung belegt.</w:t>
      </w:r>
    </w:p>
    <w:p>
      <w:r>
        <w:rPr>
          <w:b/>
        </w:rPr>
        <w:t>E. 11.3</w:t>
      </w:r>
    </w:p>
    <w:p>
      <w:r>
        <w:t>Nebst der Mittellosigkeit ist für die Gewährung der unentgeltlichen Rechtsverbeiständung im Sinne von Art. 65 Abs. 2 VwVG notwendig, dass die Beschwerde 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w:t>
      </w:r>
    </w:p>
    <w:p>
      <w:r>
        <w:rPr>
          <w:b/>
        </w:rPr>
        <w:t>E. 11.4</w:t>
      </w:r>
    </w:p>
    <w:p>
      <w:r>
        <w:t>Das vorliegende Verfahren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