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D-565/2007 vom 18. November 2010</w:t>
      </w:r>
    </w:p>
    <w:p>
      <w:r>
        <w:t>Bundesverwaltungsgericht, 2010-11-18, DE</w:t>
      </w:r>
    </w:p>
    <w:p>
      <w:r>
        <w:rPr>
          <w:b/>
        </w:rPr>
        <w:t xml:space="preserve">Quelle: </w:t>
      </w:r>
      <w:r>
        <w:t>https://mcp.opencaselaw.ch/entscheid/bvger_D-565_2007</w:t>
      </w:r>
    </w:p>
    <w:p>
      <w:r>
        <w:t>FR: TAF D-565/2007 du 18 novembre 2010</w:t>
      </w:r>
    </w:p>
    <w:p>
      <w:r>
        <w:t>IT: TAF D-565/2007 del 18 novembre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Beschwerden sind frist- und formgerecht eingereicht. Die Beschwerdeführenden sind durch die angefochtenen Verfügungen besonders berührt und haben ein schutzwürdiges Interesse an deren Aufhebung beziehungsweise Änderung; sie sind daher zur Einreichung der Beschwerden legitimiert (Art. 105 AsylG i.V.m. Art. 37 VGG, Art. 48 Abs. 1 VwVG sowie Art. 50 und Art. 52 VwVG). Auf die Beschwerden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Verfahren der beschwerdeführenden Ehegatten wurden vom Bundesverwaltungsgericht zunächst getrennt geführt. Aufgrund der engen sachlichen und persönlichen Konnexität der beiden Verfahren rechtfertigt es sich, die beiden Verfahren zu vereinigen und in einem Urteil zu behandeln.</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4.2</w:t>
      </w:r>
    </w:p>
    <w:p>
      <w:r>
        <w:t>Die Flüchtlingseigenschaft gemäss dem vorstehend wiedergegebenen Art. 3 AsylG erfüllt eine asylsuchende Person entsprechend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Entscheide des Schweizerischen Bundesverwaltungsgerichts [BVGE] 2008/4 E. 5.2 S. 37; Entscheidungen und Mitteilungen der Schweizerischen Asylrekurskommission [EMARK] 2006 Nr. 18 E. 7 und 8 S. 190 ff.; EMARK 2005 Nr. 21 E. 7 S. 193). Aufgrund der Subsidiarität des flüchtlingsrechtlichen Schutzes setzt die Zuerkennung der Flüchtlingseigenschaft ausserdem voraus, dass die betroffene Person in ihrem Heimatland keinen ausreichenden Schutz finden kann (vgl. BVGE 2008/12 E. 7.2.6.2 S. 174 f.; BVGE 2008/4 E. 5.2 S. 37 f.; EMARK 2006 Nr. 18 E. 10 S. 201 ff.; EMARK 2005 Nr. 21 E. 7.3 S. 194 und E. 11.1 S. 201 f.). Ausgangspunkt für die Beurteilung der Flüchtlingseigenschaft ist die Frage nach der im Zeitpunkt der Ausreise vorhandenen Verfolgung oder begründeten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2008/4 E. 5.4 S. 38 f.; EMARK 2000 Nr. 2 E. 8a S. 20; WALTER STÖCKLI, Asyl, in: Uebersax/Rudin/Hugi Yar/Geiser [Hrsg.], Ausländerrecht, Basel/Bern/Lausanne 2009, Rz. 11.17 und 11.18).</w:t>
      </w:r>
    </w:p>
    <w:p>
      <w:r>
        <w:rPr>
          <w:b/>
        </w:rPr>
        <w:t>E. 4.3</w:t>
      </w:r>
    </w:p>
    <w:p>
      <w:r>
        <w:t>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EMARK 2005 Nr. 21 E. 7 S. 193 f., EMARK 2004 Nr. 1 E. 6a S. 9).</w:t>
      </w:r>
    </w:p>
    <w:p>
      <w:r>
        <w:rPr>
          <w:b/>
        </w:rPr>
        <w:t>E. 4.4</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Beschwerdeführenden machen nicht geltend, sie seien zufolge bereits erlittener Verfolgungshandlungen ausgereist. Zu prüfen bleibt somit, ob im Zeitpunkt der Ausreise begründete Furcht vor Verfolgung bestand beziehungsweise von den Beschwerdeführenden zumindest glaubhaft gemacht wurde.</w:t>
      </w:r>
    </w:p>
    <w:p>
      <w:r>
        <w:rPr>
          <w:b/>
        </w:rPr>
        <w:t>E. 5.2</w:t>
      </w:r>
    </w:p>
    <w:p>
      <w:r>
        <w:t>Gemäss konstanter Praxis der ARK, die vom Bundesverwaltungsgericht weiter geführt wird, liegt mit Bezug auf den Zeitpunkt der Ausreise eine begründete Furcht vor Verfolgung im Sinne von Art. 3 Abs. 1 AsylG vor, wenn konkreter Anlass zur Annahme besteht, Letztere hätte sich mit beachtlicher Wahrscheinlichkeit und in absehbarer Zeit verwirklicht. Dabei genügt es nicht, dass diese Furcht lediglich mit Vorkommnissen oder Umständen, die sich früher oder später möglicherweise ereignen könnten, begründet wird. Ob in einem bestimmten Fall eine solche Wahrscheinlichkeit besteht, ist aufgrund einer objektivierten Betrachtungsweise zu beurteilen. Es müssen damit hinreichende Anhaltspunkte für eine konkrete Bedrohung vorhanden sein, die bei jedem Menschen in vergleichbarer Lage Furcht vor Verfolgung und damit den Entschluss zur Flucht hervorrufen würden. Dennoch ist für die Bestimmung der begründeten Furcht nicht allein massgebend, was ein hypothetischer Durchschnittsmensch in derselben Situation empfinden würde. Diese rein objektive Betrachtungsweise ist zusätzlich durch das von der betroffenen Person bereits Erlebte und das Wissen um Konsequenzen in vergleichbaren Fällen zu ergänzen. Wer bereits staatlichen Verfolgungsmassnahmen ausgesetzt war, hat objektive Gründe für eine ausgeprägtere (subjektive) Furcht. Die subjektive Furcht ist diesfalls bereits dann begründet, wenn sie zwar diejenige eines in der gleichen Situation befindlichen Durchschnittsmenschen übersteigt, aber trotzdem nachvollziehbar bleibt (vgl. statt vieler EMARK 2005 Nr. 21 E. 7.1. S. 193, mit weiteren Hinweisen).</w:t>
      </w:r>
    </w:p>
    <w:p>
      <w:r>
        <w:rPr>
          <w:b/>
        </w:rPr>
        <w:t>E. 5.3</w:t>
      </w:r>
    </w:p>
    <w:p>
      <w:r>
        <w:t>Das Bundesverwaltungsgericht kommt im Urteil vom 18. Novem-ber 2010 betreffend das Verfahren der Eltern und Grosseltern beziehungsweise Schwiegereltern der Beschwerdeführenden (D-566/2007) zum Schluss, eine konkrete Verfolgungsgefahr lasse sich weder aus der Aufdeckung von Unterschlagungen noch aus den regimekritischen Aktivitäten im Heimatland ableiten. Davon unabhängige, eigenständige Verfolgungsgründe machen beide Beschwerdeführenden keine geltend. Der Beschwerdeführer gab zudem an, er wäre im Heimatland geblieben, wenn die Beschwerdeführerin nicht ausgereist wäre (vgl. A 1/9 S. 5). Entsprechend kann für den Zeitpunkt der Ausreise - nachdem die angefochtenen Verfügungen nebst den Beschwerdeführenden auch deren Eltern beziehungsweise Schwiegereltern umfassen, alle Adressaten der Verfügungen von demselben Rechtsbeistand vertreten werden und um unnötige Wiederholungen zu vermeiden - auf das Urteil sowie die diesbezüglichen Erwägungen im Verfahren der Eltern beziehungsweise Schwiegereltern (D-566/2007) verwiesen und auf weitere Ausführungen im vorliegenden Verfahren verzichtet werden.</w:t>
      </w:r>
    </w:p>
    <w:p>
      <w:r>
        <w:rPr>
          <w:b/>
        </w:rPr>
        <w:t>E. 6</w:t>
      </w:r>
    </w:p>
    <w:p>
      <w:r>
        <w:t>Die Beschwerdeführenden bringen schliesslich vor, das Bundesamt habe ihre Flüchtlingseigenschaft zufolge Vorliegens subjektiver Nachfluchtgründe zu Unrecht verneint.</w:t>
      </w:r>
    </w:p>
    <w:p>
      <w:r>
        <w:rPr>
          <w:b/>
        </w:rPr>
        <w:t>E. 6.1</w:t>
      </w:r>
    </w:p>
    <w:p>
      <w:r>
        <w:t>Wer sich darauf beruft, dass durch sein Verhalten nach der Ausreise aus dem Heimat- oder Herkunftsland eine Gefährdungssituation erst geschaffen worden ist, macht subjektive Nachfluchtgründe geltend (Art. 54 AsylG). Subjektive Nachfluchtgründe begründen zwar die Flüchtlingseigenschaft im Sinne von Art. 3 AsylG, führen jedoch nach Art. 54 AsylG zum Ausschluss des Asyls, unabhängig davon, ob sie missbräuchlich oder nicht missbräuchlich gesetzt wurden. Das vom Gesetzgeber vorgesehene Konzept, wonach das Vorliegen von subjektiven Nachfluchtgründen die Gewährung von Asyl ausschliesst, verbietet das Addieren solcher Gründe mit Nachfluchtgründen, welche vor der Ausreise aus dem Heimat- oder Herkunftsstaat entstanden sind und die für sich allein nicht zur Bejahung der Flüchtlingseigenschaft und zur Asylgewährung ausreichen (vgl. BVGE 2009/28 E. 7.1 S. 352; vgl. ferner EMARK 2000 Nr. 16 E. 5 a S. 141 f., mit weiteren Hinweisen). Stattdessen werden Personen, welche subjektive Nachfluchtgründe nachweisen oder glaubhaft machen können, als Flüchtlinge vorläufig aufgenommen (vgl. dazu die nach wie vor gültigen und zutreffenden Ausführungen in EMARK 1995 Nr. 7 E. 7 b und 8 S. 67 ff.; EMARK 2000 Nr. 16 E. 5 a S. 141 f., mit weiteren Hinweisen).</w:t>
      </w:r>
    </w:p>
    <w:p>
      <w:r>
        <w:rPr>
          <w:b/>
        </w:rPr>
        <w:t>E. 6.2</w:t>
      </w:r>
    </w:p>
    <w:p>
      <w:r>
        <w:t>Das Bundesamt stellt die exilpolitischen Aktivitäten, insbesondere des Beschwerdeführers, nicht in Abrede. Vielmehr hielt es in der angefochtenen Verfügung fest, der Beschwerdeführer sei seit September 2006 Mitglied der Demokratischen Vereinigung für Flüchtlinge (DVF) und habe an diversen Demonstrationen teilgenommen. Auf Beschwerdeebene (sowohl in der Beschwerdeschrift als auch in ihren zusätzlichen Eingaben) machen die Beschwerdeführenden weitere exilpolitische Aktivitäten geltend, insbesondere - betreffend den Beschwerdeführer - die Teilnahme an mehreren Demonstrationen sowie an monatlichen Treffen und Generalversammlungen der DVF. Der Beschwerdeführer reichte überdies einen Mitgliederausweis der DVF für das Jahr 2010 zu den Akten, während für die Beschwerdeführerin einzig für das Jahr 2007 eine Personalkarte der DVF vorliegt. Zur Stützung ihrer Vorbringen reichten die Beschwerdeführenden diverse weitere Beweismittel ein. Insofern besteht für das Bundesverwaltungsgericht kein Anlass, an ihrer Darstellung zu zweifeln.</w:t>
      </w:r>
    </w:p>
    <w:p>
      <w:r>
        <w:rPr>
          <w:b/>
        </w:rPr>
        <w:t>E. 6.3</w:t>
      </w:r>
    </w:p>
    <w:p>
      <w:r>
        <w:t>Mit Bezug auf den Iran ist in genereller Hinsicht festzuhalten, dass durch die Neufassung des iranischen Strafrechts vom 9. Juli 1996 die politische Betätigung für staatsfeindliche Organisationen im Ausland unter Strafe gestellt ist (Art. 498-500). Zudem überwachen die iranischen Behörden die politischen Aktivitäten ihrer Staatsangehörigen im Ausland. Hierbei ist davon auszugehen, dass sich die Auslandgeheimdienste auf die Erfassung von Personen konzentrieren, welche über die massentypischen und niedrigprofilierten Erschei-nungsformen exilpolitischer Proteste hinaus Funktionen wahrnehmen und/oder Aktivitäten entwickeln, die sie aus der Masse der mit dem Regime Unzufriedenen herausheben und als ernsthafte und potentiell gefährliche Regimegegner erscheinen lassen. Nach Erkenntnis des Bundesverwaltungsgerichts unterliegen Mitglieder von Exilorganisa-tionen der im Iran verbotenen oppositionellen Parteien, Teilnehmer an Veranstaltungen dieser Organisationen, Mitwirkende an regimekriti-schen Demonstrationen, welche die dabei üblichen Plakate tragen und Parolen rufen, Teilnehmer von sonstigen regimekritischen Veran-staltungen sowie Personen, die Büchertische betreuen und Informa-tions- und Propagandamaterial verteilen, keiner allgemeinen Über-wachungsgefahr durch iranische Exilbehörden. Dass die iranischen Sicherheitsbehörden zwischen tatsächlich politisch engagierten Re-gimekritikern und Exilaktivisten, die mit ihren Aktionen in erster Linie die Chancen auf ein Aufenthaltsrecht zu erhöhen versuchen, zu unterscheiden vermögen, darf vorausgesetzt werden (vgl. BVGE 2009/28 E. 7.4.3).</w:t>
      </w:r>
    </w:p>
    <w:p>
      <w:r>
        <w:rPr>
          <w:b/>
        </w:rPr>
        <w:t>E. 6.4</w:t>
      </w:r>
    </w:p>
    <w:p>
      <w:r>
        <w:t>Im konkreten Fall geht das Gericht nach einer Auswertung des eingereichten Beweismaterials unter Mitberücksichtigung der übrigen Akten davon aus, dass insgesamt keine subjektiven Nachfluchtgründe bestehen, die bei einer Rückkehr der Beschwerdeführenden in den Iran zu einer für die Flüchtlingseigenschaft relevanten Verfolgung führen würden. Dieser Einschätzung liegt die Erkenntnis zugrunde, dass nicht primär das Hervortreten im Sinne einer optischen Erkennbarkeit und Individualisierbarkeit, sondern eine derartige Exponierung in der Öffentlichkeit massgebend ist, welche aufgrund der Persönlichkeit des Asylsuchenden, der äusseren Form seines Auftritts und nicht zuletzt aufgrund des Inhaltes der in der Öffentlichkeit abgegebenen persönlichen Erklärungen den Eindruck erweckt, dass der Asylsuchende zu einer Gefahr für den Bestand des Mullah-Regimes wird. Ein dermassen erhöhter Exponierungsgrad kann den Beschwerdeführenden unter Berücksichtigung der von ihnen in der Schweiz bis zuletzt ausgeübten exilpolitischen Aktivitäten nicht beigemessen werden. Eine konkrete Gefährdung der Beschwerdeführenden bei einer Rückkehr in den Iran ist deshalb mit überwiegender Wahrscheinlichkeit auszuschliessen.</w:t>
      </w:r>
    </w:p>
    <w:p>
      <w:r>
        <w:rPr>
          <w:b/>
        </w:rPr>
        <w:t>E. 6.4.1</w:t>
      </w:r>
    </w:p>
    <w:p>
      <w:r>
        <w:t>Die Beschwerdeführenden machen in Bezug auf ihre Mitgliedschaft selber nicht geltend, dass ihnen innerhalb der DVF eine besonders exponierte Stellung beziehungsweise Führungsfunktion zukommt, wobei mangels eines entsprechenden aktuellen Beleges unklar ist, ob die Beschwerdeführerin überhaupt noch Mitglied der DVF ist. Im Übrigen liegt lediglich ein Foto der Beschwerdeführerin bei den Akten, welches sie bei einer exilpolitischen Veranstaltung zeigt. Damit vermag sie von vornherein kein relevantes Gefährdungspotenzial darzutun. Aber auch die im vorliegenden Verfahren durch die Beweismittel dokumentierte Beteiligung des Beschwerdeführers an exilpolitischen Aktivitäten - sei es als Teilnehmer an Kundgebungen oder Versammlungen - lassen nicht das Gefährdungspotenzial ersehen, welches der Beschwerdeführer beziehungsweise die Beschwerdeführenden daraus zu ziehen versuchen. Beide Beschwerdeführenden weisen nicht das Profil auf, welches den Argwohn der iranischen Sicherheitskräfte im Sinne einer Identifizierung und Fichierung als ernst zu nehmende Regimegegner erweckt haben dürfte.</w:t>
      </w:r>
    </w:p>
    <w:p>
      <w:r>
        <w:rPr>
          <w:b/>
        </w:rPr>
        <w:t>E. 6.4.2</w:t>
      </w:r>
    </w:p>
    <w:p>
      <w:r>
        <w:t>Im Sinne einer Klarstellung bleibt darauf hinzuweisen, dass friedliche Propagandaaktionen in westeuropäischen Staaten, wie sie vorliegend und in einer Vielzahl anderer Verfahren vor dem Bundesverwaltungsgericht dokumentiert sind, von den iranischen Sicherheitsbehörden durchaus unter realistischer Einordnung des - ebenso evidenten wie unpolitischen - Interesses ihrer Landsleute interpretiert werden, im Gastland nach Möglichkeit ein Aufenthaltsrecht zu erwirken. Es geht bei dieser Argumentation nicht darum, die innere (politische) Gesinnung eines Asylsuchenden auszuleuchten, vielmehr erschöpft sich der Prüfungsumfang der Asylbehörden darin, die gegen aussen manifestierte, aus Sicht der iranischen Behörden als potenziell gefährlich zu wertende Oppositionstätigkeit der in Frage stehenden Person zu beurteilen.</w:t>
      </w:r>
    </w:p>
    <w:p>
      <w:r>
        <w:rPr>
          <w:b/>
        </w:rPr>
        <w:t>E. 6.4.3</w:t>
      </w:r>
    </w:p>
    <w:p>
      <w:r>
        <w:t>Zusammenfassend ist festzuhalten, dass nicht mit überwiegender Wahrscheinlichkeit davon auszugehen ist, die Beschwerdeführenden müssten im Falle ihrer Rückkehr in den Heimatstaat befürchten, dort ernsthafte Nachteile im Sinne von Art. 3 AsylG zu erleiden. Insbesondere fehlen im vorliegenden Fall jegliche aktenkundige Hinweise darauf, dass im Iran aufgrund der genannten politischen Aktivitäten im Exil gegen sie ein Strafverfahren oder andere behördliche Massnahmen eingeleitet worden sind, was ein Indiz für eine fehlende Verfolgungsgefahr im Heimatland darstellt. In letzter Konsequenz ist hierbei anzumerken, dass es nicht Sache der schweizerischen Asylbehörden sein kann, jede auch nur ansatzweise mögliche Gefährdungssituation im Heimatland einer asylsuchenden Person abzuklären. Hier findet der in Art. 12 VwVG verankerte Untersuchungsgrundsatz vernünftigerweise seine Schranken und die Beschwerdeführenden sind auf ihre in Art. 8 AsylG verankerte Mitwirkungspflicht zu verweisen. Angesichts dessen sowie der umfangreichen regimekritischen Aktivitäten von Iranerinnen und Iranern in ganz Westeuropa erscheint es insgesamt als unwahrscheinlich, dass die iranischen Behörden von den Exilaktivitäten der Beschwerdeführenden soweit Notiz genommen haben, dass sie diese als konkrete und ernsthafte Bedrohung für das politische System empfinden würden.</w:t>
      </w:r>
    </w:p>
    <w:p>
      <w:r>
        <w:rPr>
          <w:b/>
        </w:rPr>
        <w:t>E. 6.4.4</w:t>
      </w:r>
    </w:p>
    <w:p>
      <w:r>
        <w:t>Der Vollständigkeit halber ist schliesslich anzumerken, dass Personen aus dem Iran sowohl aufgrund ihrer (illegalen) Ausreise aus ihrem Heimatland als auch wegen der Einreichung eines Asylgesuchs in der Schweiz bei einer Rückkehr in ihre Heimat gemäss gesicherten Erkenntnissen des Bundesverwaltungsgerichts keine asylrechtlich relevanten Nachteile zu befürchten haben (vgl. BVGE 2009/28 E. 7.4.4, mit weiteren Hinweisen).</w:t>
      </w:r>
    </w:p>
    <w:p>
      <w:r>
        <w:rPr>
          <w:b/>
        </w:rPr>
        <w:t>E. 6.5</w:t>
      </w:r>
    </w:p>
    <w:p>
      <w:r>
        <w:t>Nach dem Gesagten ergibt sich, dass vorliegend keine Nachfluchtgründe bestehen, die zur Zuerkennung der Flüchtlingseigenschaft hätten führen können. Die Vorinstanz hat die Asylgesuche der Beschwerdeführenden auch unter diesem Blickwinkel zu Recht abgelehnt.</w:t>
      </w:r>
    </w:p>
    <w:p>
      <w:r>
        <w:rPr>
          <w:b/>
        </w:rPr>
        <w:t>E. 7</w:t>
      </w:r>
    </w:p>
    <w:p>
      <w:r>
        <w:t>Angesichts der aufgezeigten Sachlage erweisen sich die im Rahmen des Beschwerdeverfahrens erhobenen Rügen in allen Punkten als unbegründet. In Würdigung der gesamten Umstände ist im Einklang mit der Vorinstanz festzustellen, dass die Beschwerdeführenden keinen Sachverhalt geltend gemacht haben, der sie zur Anerkennung als Flüchtling im Sinne der Definition von Art. 3 AsylG berechtigen würde. Die Ablehnung der Asylgesuche ist demnach zu bestätigen.</w:t>
      </w:r>
    </w:p>
    <w:p>
      <w:r>
        <w:rPr>
          <w:b/>
        </w:rPr>
        <w:t>E. 8</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8.1</w:t>
      </w:r>
    </w:p>
    <w:p>
      <w:r>
        <w:t>Die Beschwerdeführenden verfügen weder über eine ausländerrechtliche Aufenthaltsbewilligung noch über einen Anspruch auf Erteilung einer solchen. Die Wegweisung wurde demnach zu Recht angeordnet (Art. 44 Abs. 1 AsylG; vgl. BVGE 2008/34 E. 9.2).</w:t>
      </w:r>
    </w:p>
    <w:p>
      <w:r>
        <w:rPr>
          <w:b/>
        </w:rPr>
        <w:t>E. 8.2</w:t>
      </w:r>
    </w:p>
    <w:p>
      <w:r>
        <w:t>Das BFM ordnete mit seinen Verfügungen vom 21. Dezember 2006 die vorläufige Aufnahme der Beschwerdeführenden zufolge Vorliegens einer schwerwiegenden persönlichen Notlage an. Diese Anordnung besteht nach wie vor, weshalb sich Ausführungen zum Wegweisungsvollzug erübrigen.</w:t>
      </w:r>
    </w:p>
    <w:p>
      <w:r>
        <w:rPr>
          <w:b/>
        </w:rPr>
        <w:t>E. 9</w:t>
      </w:r>
    </w:p>
    <w:p>
      <w:r>
        <w:t>Aus den vorstehenden Erwägungen ergibt sich, dass die angefochtenen Verfügungen Bundesrecht nicht verletzen, den rechtserheblichen Sachverhalt richtig und vollständig feststellen und angemessen sind (Art. 106 AsylG). Die Beschwerden sind nach dem Gesagten abzuweisen.</w:t>
      </w:r>
    </w:p>
    <w:p>
      <w:r>
        <w:rPr>
          <w:b/>
        </w:rPr>
        <w:t>E. 10</w:t>
      </w:r>
    </w:p>
    <w:p>
      <w:r>
        <w:t>Dem Ausgang des Verfahrens entsprechend wären die Kosten den mit ihren Begehren unterlegenen Beschwerdeführenden zu überbinden (Art. 63 Abs. 1 VwVG). Diese haben aber im Rahmen der Beschwerdebegehren ein Gesuch um Gewährung der unentgeltlichen Rechtspflege gestellt. Gemäss Art. 65 Abs. 1 VwVG befreit die Beschwerdeinstanz nach Einreichung der Beschwerde eine Partei, die nicht über die erforderlichen Mittel verfügt, auf Antrag von der Bezahlung der Verfahrenskosten, sofern ihr Begehren nicht aussichtslos erscheint. Gesamthaft betrachtet kann den Beschwerdeführenden nicht vorgehalten werden, ihrer Beschwerde habe es im Zeitpunkt der Beantragung der unentgeltlichen Rechtspflege mit Blick auf die Erfolgsaussichten an der nötigen Ernsthaftigkeit gefehlt (vgl. BGE 125 II 265 E. 4b S. 275). Zudem ist aufgrund der Aktenlage nicht davon auszugehen, dass die Beschwerdeführenden ein den prozessualen Notbedarf übersteigendes Einkommen erzielen. Damit sind beide kumulativ erforderlichen Voraussetzungen von Art. 65 Abs. 1 VwVG erfüllt. Das Gesuch um Gewährung der unentgeltlichen Rechtspflege ist deshalb gutzuheissen, und die Beschwerdeführenden sind von der Pflicht zur Kostentragung zu befreien. Infolgedessen sind ihnen trotz ihres Unterliegens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