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D-5655/2020 vom 17. November 2021</w:t>
      </w:r>
    </w:p>
    <w:p>
      <w:r>
        <w:t>Bundesverwaltungsgericht, 2021-11-17, DE</w:t>
      </w:r>
    </w:p>
    <w:p>
      <w:r>
        <w:rPr>
          <w:b/>
        </w:rPr>
        <w:t xml:space="preserve">Quelle: </w:t>
      </w:r>
      <w:r>
        <w:t>https://mcp.opencaselaw.ch/entscheid/bvger_D-5655_2020</w:t>
      </w:r>
    </w:p>
    <w:p>
      <w:r>
        <w:t>FR: TAF D-5655/2020 du 17 novembre 2021</w:t>
      </w:r>
    </w:p>
    <w:p>
      <w:r>
        <w:t>IT: TAF D-5655/2020 del 17 novembre 2021</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(aArt. 108 Abs. 1 AsylG und Art. 52 Abs. 1 VwVG).</w:t>
      </w:r>
    </w:p>
    <w:p>
      <w:r>
        <w:rPr>
          <w:b/>
        </w:rPr>
        <w:t>E. 1.3</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vorliegende Beschwerde erweist sich - wie nachfolgend aufgezeigt - als offensichtlich unbegründet und ist im Verfahren einzelrichterlicher Zuständigkeit mit Zustimmung einer zweiten Richterin (Art. 111 Bst. e AsylG) und mit summarischer Begründung zu behandeln (Art. 111a Abs. 1 und 2 AsylG). Gestützt auf Art. 111a Abs. 1 AsylG wurde auf einen Schriftenwechsel verzichtet.</w:t>
      </w:r>
    </w:p>
    <w:p>
      <w:r>
        <w:rPr>
          <w:b/>
        </w:rPr>
        <w:t>E. 4.1</w:t>
      </w:r>
    </w:p>
    <w:p>
      <w:r>
        <w:t>In der Beschwerde werden formelle Rügen erhoben, welche vorab zu beurteilen sind, da sie gegebenenfalls geeignet sind, eine Kassation der vorinstanzlichen Verfügung zu bewirken. Die Rügen der Verletzung des rechtlichen Gehörs sowie sinngemäss der Verletzung der Pflicht zur vollständigen und richtigen Abklärung des rechtserheblichen Sachverhaltes erweisen sich als unbegründet. Die Beschwerdeführenden beanstanden in ihrer Beschwerde, die Anhörung sei nicht korrekt durchgeführt worden, und bemängeln die Anzahl (Folge-) Fragen des Fachspezialisten nach den Fluchtgründen, dessen Tonfall und Befragungstempo, seine Unterbrechungen der Antworten wie auch sinngemäss die ungenügende Berücksichtigung des emotionalen Zustandes des Beschwerdeführers B. (gesundheitliche Probleme in Form von schwerer depressiver Symptomatik mit Suizidalität, Posttraumatische Belastungsstörung [PTBS]), insbesondere hinsichtlich der Würdigung der Glaubhaftigkeit seiner Asylvorbringen ([...]). Es liegen gemäss den Akten keine nachvollziehbaren Anhaltspunkte für diese Behauptungen beziehungsweise für ernsthafte Zweifel an der Verwertbarkeit der protokollierten Aussagen vor. Einerseits bestätigte der Beschwerdeführer B. die Richtigkeit und Vollständigkeit des Protokolls anlässlich der Rückübersetzung unterschriftlich und brachte lediglich eine Korrektur betreffend den Ort der Überwachungskamera an ([...]). Andererseits sind aus dem Anhörungsprotokoll weder ein ungewöhnlicher Befragungsstil des Fachspezialisten des SEM noch eine unangemessene Anhörungsdauer ersichtlich. Die nicht unübliche, ganztägige Anhörung wurde mit ausreichend Pausen unterbrochen und damit gerade auch auf die Befindlichkeit des Beschwerdeführers B. Rücksicht genommen (je zweimal am Vormittag und Nachmittag, zusätzlich am Mittag sowie für die Rückübersetzung). Aus dem Anhörungsprotokoll lässt sich auch nicht schliessen, der Beschwerdeführer wäre nicht in der Lage oder eingeschränkt gewesen, der Anhörung beziehungsweise dem Anhörungstempo zu folgen, die ihm gestellten Fragen zu verstehen sowie allesamt frei und umfassend zu beantworten. Die an der Anhörung anwesenden Hilfswerkvertretungen (HWV) erhoben keine Einwände beziehungsweise machten keine solchen Mängel, wie die von den Beschwerdeführenden behauptet, geltend ([...]). Einzig bemerkt wurde, die Bezeichnung des Beschwerdeführers B. als «abwesend» sei nicht das «richtige Wort», da er «aufmerksam» erschienen sei ([...]). Nach seinem Gesundheitszustand gefragt, berichtete der Beschwerdeführer bei der Anhörung überdies, es gehe ihm gut ([...]). Es sind - entgegen der Behauptung der Beschwerdeführenden - weder aus dem Anhörungsprotokoll noch aus dem Beiblatt der HWV ([...]) Hinweise darauf ersichtlich, dass der Beschwerdeführer B. in seiner Vernehmungsfähigkeit eingeschränkt gewesen sein könnte. Deshalb geht auch der Vorwurf der ungenügenden Berücksichtigung seines gesundheitlichen beziehungsweise emotionalen Zustandes während der Anhörung wie auch für die Würdigung der Glaubhaftigkeit seiner Vorbringen fehl.</w:t>
      </w:r>
    </w:p>
    <w:p>
      <w:r>
        <w:rPr>
          <w:b/>
        </w:rPr>
        <w:t>E. 4.2</w:t>
      </w:r>
    </w:p>
    <w:p>
      <w:r>
        <w:t>Nach dem Gesagten besteht keine Veranlassung, die angefochtene Verfügung aus formellen Gründen aufzuheben und die Sache an die Vorinstanz zurückzuweisen. Das entsprechende Eventualbegehren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2015/3 E. 6.5.1, m.w.H.).</w:t>
      </w:r>
    </w:p>
    <w:p>
      <w:r>
        <w:rPr>
          <w:b/>
        </w:rPr>
        <w:t>E. 6.1</w:t>
      </w:r>
    </w:p>
    <w:p>
      <w:r>
        <w:t>Ihren ablehnenden Entscheid begründete die Vorinstanz im Wesentlichen damit, die Vorbringen der Beschwerdeführenden hielten weder den Anforderungen an die Flüchtlingseigenschaft gemäss Art. 3 AsylG noch jenen an die Glaubhaftigkeit gemäss Art. 7 AsylG stand. Die Vorinstanz hielt in der angefochtenen Verfügung betreffend Exponiertheit der politischen Ämter des Beschwerdeführers B. fest, er habe geltend gemacht, vor seiner aktiven Mitgliedschaft bei der HDP für die Partei als Quartier- und Urnenverantwortlicher an einer lokalen Schule sowie als Mitglied der Friedensgruppe tätig gewesen zu sein. Die Behauptung als Aussenstehender bzw. als nicht offizielles Parteimitglied höhere, offizielle Ämter (namentlich als Verantwortlicher eines Quartiers und Friedensgruppenmitglied) zu bekleiden, sei jedoch realitätsfern. Daher sei die geltend gemachte exponierte Stellung des Beschwerdeführers B. in der HDP als nicht glaubhaft zu erachten und die diesbezüglich eingereichten Beweise in Form des Beleges einer einfachen Parteimitgliedschaft sowie des Nachweises einer einfachen Wahlurnenbeaufsichtigung änderten mangels Geeignetheit nichts daran. Die Beschwerdeführenden würden hinsichtlich ihrer Verfolgung im Heimatstaat Einbrüche durch Unbekannte in ihr Haus im Jahr 2011 beziehungsweise 2012 wegen der genannten politischen Tätigkeiten geltend machen, nach welchen trotz Aufnahmen ihres eigenen Lebensmittelgeschäfts von einer Überwachungskamera und polizeilicher Anzeige keine Verdächtigen festgenommen worden seien. Im Rahmen dieser Einbrüche sei eine Fotokamera mit Fotos, die den Beschwerdeführer B. bei der Parteiarbeit zeigen würden, gestohlen worden. Es sei nicht nachzuvollziehen, dass die Beschwerdeführenden aufgrund der fehlenden Festnahme von Verdächtigen von einem Einbruch ausgingen, der durch die türkische Polizei selbst begangen worden sei. Weder die Vorbringen, die Beschwerdeführende N. sei nach diesen Vorfällen im gemeinsam geführten Lebensmittelgeschäft angeblich bis 2017 immer wieder von Polizisten nach ihrem Ehemann befragt worden, noch die behauptete jahrelange polizeiliche Suche nach dem Beschwerdeführer B. ergäben Sinn. Es sei davon auszugehen, dass die Polizei bereits durch ihren angeblichen Einbruch 2011 beziehungsweise 2012 oder mittels einer Razzia im Parteibüro der HDP einfacher an den Beschwerdeführer B. kompromittierendes Material (Fotos bei der Parteiarbeit) gelangt wäre. Was die politischen Aktivitäten anbelangt, legte die Vorinstanz dar, es sei entgegen der Behauptung der Beschwerdeführenden nicht glaubhaft, dass der Beschwerdeführer B. angesichts der Parteigründung im Jahre 2012 bereits seit 1998/99 für die Partei aktiv sei und dass er - trotz erfolgten angeblichen Einbrüchen und Befragungen in den Jahren 2011/2012 - seine parteilichen Aktivitäten ab dem Jahr 2012 intensiviert habe. In diesem Zusammenhang sei der damalige angebliche Verzicht auf eine offizielle Parteimitgliedschaft aus (gemäss der Beschwerdeführerin N.) Furcht vor dem Gefängnis nicht schlüssig. Weitere Ungereimtheiten bestünden hinsichtlich des Zeitpunkts für die Beantragung der offiziellen Mitgliedschaft der Partei (8. Januar 2018) und des darauf erfolgten Beitritts sowie der mutmasslich politisch motivierten Entführungen und Misshandlungen ab 2017 (von Unbekannten, angeblich von der türkischen Polizei und / oder mit dieser im Bunde stehenden Personen). Weshalb diese Übergriffe erst fünf Jahre nach dem offenbar sichergestellten kompromittierenden Material erfolgt und wie sie in einem Zusammenhang zu den Einbrüchen sowie den Befragungen beziehungsweise der Personensuche stehen sollten, sei ebenfalls nicht logisch nachzuvollziehen. Nach den gewaltsamen Übergriffen hätten sich die Beschwerdeführenden trotz Zumutbarkeit nicht an die türkische Polizei gewandt. Der Heimatstaat habe damit - im Gegensatz zu den behaupteten Einbrüchen, bei welchen die Polizei hinzugezogen worden sei - keine Gelegenheit erhalten, Schutzwillen und -fähigkeit zu demonstrieren. Die von den Beschwerdeführenden eingereichten Röntgenaufnahmen betreffend die von einem Übergriff stammende Fingerverletzung seien alsdann nicht mit Referenzdaten (weder Aufnahmedatum noch identifizierbaren Personendaten noch medizinischen Angaben, etc.) versehen und liessen sich dem Beschwerdeführer B. nicht zweifelsfrei zuzuordnen.</w:t>
      </w:r>
    </w:p>
    <w:p>
      <w:r>
        <w:rPr>
          <w:b/>
        </w:rPr>
        <w:t>E. 6.2</w:t>
      </w:r>
    </w:p>
    <w:p>
      <w:r>
        <w:t>In der Beschwerde wiederholen die Beschwerdeführenden hauptsächlich ihre Sachverhaltsschilderungen und machen im Wesentlichen geltend, nicht mit der rechtlichen Würdigung der Sache durch die Vorinstanz einverstanden zu sein. Es sei entgegen den Feststellungen der Vorinstanz möglich, als Nicht-Parteimitglied Ämter für die HDP zu bekleiden, was der bereits eingereichte Ausweis (als Urnenverantwortlicher) aufzeige ([...]). Im Weiteren sei betreffend die geltend gemachten Einbrüche unklar, ob anstelle solcher eine staatlich genehmigte Hausdurchsuchung stattgefunden habe, da zu diesem Zeitpunkt niemand zu Hause gewesen sei ([...]). Schliesslich bringen die Beschwerdeführenden vor, der Beschwerdeführer B. werde aufgrund seiner politischen Tätigkeit und der negativen Entwicklungen in der Türkei bei einer Rückkehr begründete Furcht vor ernsthaften Nachteilen haben, weshalb er und seine Familienmitglieder als Flüchtlinge anzuerkennen und ihnen Asyl zu gewähren sei. Bezüglich der exilpolitischen Aktivitäten des Beschwerdeführers B. in der Schweiz wurde auf eine Bestätigung des DEM-KURD vom 13. November 2020 verwiesen.</w:t>
      </w:r>
    </w:p>
    <w:p>
      <w:r>
        <w:rPr>
          <w:b/>
        </w:rPr>
        <w:t>E. 7.1</w:t>
      </w:r>
    </w:p>
    <w:p>
      <w:r>
        <w:t>Die Vorinstanz hat die Vorbringen der Beschwerdeführenden in der angefochtenen Verfügung mit ausführlicher und überzeugender Begründung als unglaubhaft qualifiziert, die Flüchtlingseigenschaft verneint und das Asylgesuch abgewiesen. Zur Vermeidung von Wiederholungen kann auf die zu bestätigenden, unter E. 6.1 wiedergegebenen Erwägungen der Vorinstanz verwiesen werden. Die Ausführungen auf Beschwerdeebene führen zu keiner anderen Betrachtungsweise, sondern erschöpfen sich vielmehr weitgehend in Wiederholungen des aktenkundigen Sachverhaltes. Auf die Entgegnungen der Beschwerdeführenden ist im Folgenden näher einzugehen.</w:t>
      </w:r>
    </w:p>
    <w:p>
      <w:r>
        <w:rPr>
          <w:b/>
        </w:rPr>
        <w:t>E. 7.2</w:t>
      </w:r>
    </w:p>
    <w:p>
      <w:r>
        <w:t>Entgegen der Behauptung der Beschwerdeführenden hält die Vorinstanz eine einfache Wahlurnenaufsicht für die HDP durch den Beschwerdeführer B. beziehungsweise durch ein Nichtparteimitglied für möglich, jedoch die höheren Ämter (Mitglied Friedenstruppe, Quartierverantwortlicher), für welche auch auf Beschwerdeebene keine Belege eingereicht wurden, zu Recht für unwahrscheinlich (vgl. Entscheid Vorinstanz, E. II Ziff. 1 lit. a; [...]). Die Ausübung einer Wahlurnenaufsicht oder eine einfache Mitgliedschaft bei der HDP entfalten aufgrund der fehlenden Exponiertheit der politischen Stellung keine Asylrelevanz. Die Glaubhaftigkeit der Vorbringen kann hinsichtlich der behaupteten Einbrüche grundsätzlich offen gelassen werden, da einerseits auf Beschwerdeebene vorgebracht wird, dass es sich dabei um eine staatlich genehmigte (legitime) Hausdurchsuchung gehandelt haben könnte, andererseits fehlt der zeitliche Kausalzusammenhang zwischen den angeblichen Einbrüchen (2011/2012) und der Ausreise aus dem Heimatstaat am 2. August 2018. Was die gewaltsamen Überfälle anbelangt, so wurde der Beschwerdeführer B. gemäss seinen eigenen Angaben erstmals anfangs 2017 und letztmals im Juni/Juli 2018 angegriffen, wobei die letzte Entführung die brutalste gewesen und er dazumal am Finger verletzt worden sei ([...]). Wenn dem so wäre, hätte er sich wohl an den konkreten Tag dieses für ihn sehr schlimmen und massiven Angriffs erinnern können oder er hätte zumindest eine etwas konkretere Zeitangabe dazu machen können. Die auf Beschwerdeebene eingereichten Dokumente vermögen jedenfalls keinen Zusammenhang mit den angeblichen Überfällen auf den Beschwerdeführer B. aufzuzeigen. Es handelt sich dabei um eine ärztliche Bestätigung, dass sich auf den Röntgenbilderkopien seiner Fingerknochen abbilden, wobei weitere wesentliche Angaben zu dieser Verletzung (Ursache, Unfallhergang, etc.) fehlen. Die eingereichte CD-Rom enthält alsdann zwei Röntgenbilder einer Hand, welche zwar dem Beschwerdeführer B. mit Datum vom 21. Juli 2018 zugeordnet werden können, obgleich die Bildbeschriftung gesamthaft in türkischer Sprache ist und trotz Mitwirkungspflicht keine Übersetzung oder Beschreibung beigebracht wurde. Auf der CD-Rom fehlen aber weitere Angaben zur Ursache der Fingerverletzung. Im Weiteren sind die zusätzlichen der Beschwerde beigelegten türkischen Dokumente weder übersetzt noch inhaltlich beschrieben. Einzig wird darauf hingewiesen, es handle sich dabei um ärztliche Berichte zum Spitalaufenthalt des Beschwerdeführers (act. 3). Auf allen drei eingereichten Dokumenten sind Datum (21. Juli 2018) und Name zu entnehmen. Ein Grund für die Spitalüberweisung ist daraus aber nicht ersichtlich. Somit werden auf Beschwerdeebene erneut substanzlose Angaben gemacht, welche wiederum Zweifel an der Glaubhaftigkeit der Überfälle auf den Beschwerdeführer B. säen. Es ist der Vorinstanz jedenfalls beizupflichten, dass eine Involvierung der Behörden bei den behaupteten Angriffen unglaubhaft ist und es sich dabei - wenn sie sich überhaupt zugetragen haben - einzig um Übergriffe von Dritten handeln kann. Gemäss eigenen Angaben haben die Beschwerdeführenden sich trotz der geltend gemachten Überfälle nie um staatlichen Schutz bemüht. Damit ist mit der Vorinstanz einerseits festzuhalten, dass keine konkreten Anhaltspunkte auf einen fehlenden Schutzwillen beziehungsweise eine fehlende Schutzfähigkeit der türkischen Behörden vorliegen. Ebenfalls in Übereinstimmung mit der Vorinstanz ist andererseits generell vom heimatstaatlichen Schutzwillen und der -fähigkeit auszugehen. Dies trifft insbesondere auf die türkischen Grossstädte, wie der Herkunftsort der Beschwerdeführenden eine ist, zu und es darf von ihnen erwartet werden, dass sie um Schutz nachsuchen, wie sie dies (bei den behaupteten Einbrüchen) bereits in den Jahren zuvor taten. Die Beschwerdeführenden behaupten schliesslich, als ethnische Kurden alevitischen Glaubens in ihrem Heimatland Schikanen und Benachteiligungen verschiedener Art ausgesetzt zu sein, auch betreffend Zugang zu ärztlicher Behandlung. Die der Beschwerde beigelegten Dokumente belegen einerseits ihren Zugang zu ärztlicher Behandlung in ihrem Heimatland (Spitaldokumente, Fingerröntgenbilder) und widersprechen damit ihren diesbezüglichen Vorbringen. Andererseits wurden die in ethnisch-religiösen Motiven gründenden Nachteile alsdann von der Vorinstanz zu Recht nicht in Zweifel gezogen. Die Zugehörigkeit zur kurdisch-alevitischen Bevölkerungsgruppe und daraus resultierende Nachteile vermögen aber - selbst unter Berücksichtigung der aktuellen Verhältnisse in der Türkei - keine individuelle, konkrete und in ihrer Intensität genügende Verfolgungssituation zu begründen. Mithin wird auch dadurch das in Art. 3 AsylG formulierte Anforderungsprofil zur Bejahung der Flüchtlingseigenschaft nicht erreicht. Die von den Beschwerdeführenden geltend gemachten Diskriminierungen als Aleviten und Kurden sind praxisgemäss nicht geeignet, zur Bejahung einer konkret und objektiv begründeten Furcht vor künftiger individuell gezielter, genügend intensiver Verfolgung im Sinne des Asylgesetzes zu führen. Somit ist auch das auf Beschwerdeebene eingebrachte Schreiben vom 11. November 2020 eines Bekannten der Familie, welcher die Beschwerdeführenden vor einigen Jahren bei einem Besuch in der Türkei kennenlernte und seine persönlichen Eindrücke betreffend das Leben kurdisch-alevitischer Bevölkerungsgruppen darin schildert, unbehelflich. Diese Vorbringen der Beschwerdeführenden erweisen sich - unabhängig von der teilweisen Widersprüchlichkeit der Angaben - insgesamt als nicht asylrelevant.</w:t>
      </w:r>
    </w:p>
    <w:p>
      <w:r>
        <w:rPr>
          <w:b/>
        </w:rPr>
        <w:t>E. 7.3</w:t>
      </w:r>
    </w:p>
    <w:p>
      <w:r>
        <w:t>Somit ist es den Beschwerdeführenden nicht gelungen, eine Verfolgungsgefahr im Zeitpunkt der Ausreise geltend zu machen.</w:t>
      </w:r>
    </w:p>
    <w:p>
      <w:r>
        <w:rPr>
          <w:b/>
        </w:rPr>
        <w:t>E. 7.4</w:t>
      </w:r>
    </w:p>
    <w:p>
      <w:r>
        <w:t>Das geltend gemachte exilpolitische Engagement ist unter dem Gesichtspunkt subjektiver Nachfluchtgründe im Sinne von Art. 54 AsylG zu prüfen. Subjektive Nachfluchtgründe sind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Wie bereits festgehalten ist die für den Zeitpunkt vor der Ausreise geltend gemachte politische Exponiertheit des Beschwerdeführers B. unglaubhaft. Auch aufgrund seiner exilpolitischen Aktivitäten ist nicht von einer begründeten Furcht vor zukünftiger Verfolgung auszugehen. Die auf Beschwerdeebene eingereichte Bestätigung der Mitgliedschaft des DEM-KURD ([...]) vermag zu keiner anderen Einschätzung zu führen. Darin ist hauptsächlich von der blossen Teilnahme an Veranstaltungen, Kundgebungen und Demonstrationen die Rede. Selbst wenn der Beschwerdeführer B. solche Anlässe teilweise mitorganisiert, kann dies nur als Indiz für ein niederschwelliges politisches Engagement gewertet werden. Alleine aus allgemeinen Ausführungen zur Menschenrechtslage in der Türkei oder zum Kurdenkonflikt (Beschwerde, S. 7 f.) kann nichts zu Gunsten der Annahme einer konkreten Verfolgungssituation der Beschwerdeführenden beziehungsweise des Beschwerdeführers B. abgeleitet werden. Auch wenn sich der Kurdenkonflikt in der Türkei zugespitzt hat, richten sich die Massnahmen vor allem gegen Anhänger pro-kurdischer Parteien, die eine höhere Funktion innerhalb ihrer Partei oder ein politisches Amt innehaben, was wie ausgeführt auf den Beschwerdeführer B. nicht zutrifft (vgl. dazu etwa Urteil des BVGer E-3814/2019 vom 9. August 2019 E. 5.5 m.w.H.). Unter Berücksichtigung der aktuellen Lage in der Türkei ist schliesslich nicht anzunehmen, dass das Profil des Beschwerdeführers B. beziehungsweise der Beschwerdeführenden für die Behörden von Interesse ist. Es bestehen vorliegend keine subjektiven Nachfluchtgründe und somit ist die Flüchtlingseigenschaft auch aus diesem Grund nicht erfüllt.</w:t>
      </w:r>
    </w:p>
    <w:p>
      <w:r>
        <w:rPr>
          <w:b/>
        </w:rPr>
        <w:t>E. 7.5</w:t>
      </w:r>
    </w:p>
    <w:p>
      <w:r>
        <w:t>Zusammenfassend haben die Beschwerdeführenden die Flüchtlingseigenschaft weder nachgewiesen noch glaubhaft gemacht und die Vorinstanz hat ihre Asylgesuche zu Recht abgelehnt.</w:t>
      </w:r>
    </w:p>
    <w:p>
      <w:r>
        <w:rPr>
          <w:b/>
        </w:rPr>
        <w:t>E. 8</w:t>
      </w:r>
    </w:p>
    <w:p>
      <w:r>
        <w:t>Gemäss Art. 44 AsylG verfügt das SEM in der Regel die Wegweisung aus der Schweiz, wenn es das Asylgesuch ablehnt oder darauf nicht eintritt. Die Beschwerdeführenden verfügen weder über eine ausländerrechtliche Aufenthaltsbewilligung noch über einen Anspruch auf Erteilung einer solchen (vgl. BVGE 2013/37 E. 4.4; BVGE 2009/50 E. 9, je m.w.H.). Die Wegweisung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Da die Beschwerdeführenden die Flüchtlingseigenschaft nicht erfüllen,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der Beschwerdeführenden noch aus den Akten ergeben sich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9.2.1</w:t>
      </w:r>
    </w:p>
    <w:p>
      <w:r>
        <w:t>Unter Berücksichtigung der beim Beschwerdeführer B. festgestellten schweren depressiven Episode mit psychotischen Symptomen, der PTBS sowie der Suizidgedanken ([...]) handelt es sich bei ihm um keine schwerkranke Person, bei der die ernsthafte Gefahr besteht, dass sie bei einer Rückschaffung in die Türkei einer schwerwiegenden, rapiden und irreversiblen Verschlechterung ihres Gesundheitszustandes, verbunden mit übermässigem Leiden oder einer bedeutenden Verkürzung der Lebenserwartung, ausgesetzt wäre. Die medizinische Versorgung in der Türkei (inkl. allfälliger psychologischer resp. psychiatrischer Behandlungsmöglichkeiten) ist gewährleistet. Weiter lassen weder die Vorbringen der Beschwerdeführenden noch die vorliegenden medizinischen Dokumente darauf schliessen, dass die geltend gemachten gesundheitlichen Probleme so gravierend wären, dass eine adäquate Behandelbarkeit im Heimatstaat nicht gegeben wäre. Die nötigen aussergewöhnlichen Umstände für eine unzulässige Wegweisung aus gesundheitlichen Gründen können somit hier - auch unter Berücksichtigung der suizidalen Tendenzen des Beschwerdeführers - für alle Beschwerdeführenden ausgeschlossen werden (vgl. dazu BVGE 2011/9 E. 7.1 S. 117 f., BVGE 2009/2 E. 9.1.3).</w:t>
      </w:r>
    </w:p>
    <w:p>
      <w:r>
        <w:rPr>
          <w:b/>
        </w:rPr>
        <w:t>E. 9.2.2</w:t>
      </w:r>
    </w:p>
    <w:p>
      <w:r>
        <w:t>Nach dem Gesagten ist der Vollzug der Wegweisung sowohl im Sinne der landes-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Die Beschwerdeführenden stammen aus der Provinz Izmir im Westen der Türkei. Gemäss konstanter Praxis und auch unter Berücksichtigung der Entwicklungen im Nachgang des Putschversuchs vom Juli 2016 ist nicht davon auszugehen, dass in der Türkei eine landesweite Situation allgemeiner Gewalt herrschen würde. Nicht einmal in den vorwiegend von Kurden besiedelten Provinzen im Osten und Südosten des Landes ist von einer flächendeckenden Situation allgemeiner Gewalt oder bürgerkriegsähnlichen Verhältnissen auszugehen (vgl. Urteil des BVGer E-3042/2017 vom 28. Juli 2017 E. 6.2.2 sowie das Referenzurteil E-1948/2018 vom 12. Juni 2018 E. 7.3). Ausgenommen sind die Provinzen Hakkari und Sirnak; den Wegweisungsvollzug dorthin erachtet das Bundesverwaltungsgericht aufgrund einer anhaltenden Situation allgemeiner Gewalt als unzumutbar (vgl. BVGE 2013/2 E. 9.6). Demnach ist der Vollzug der Wegweisung der Beschwerdeführenden in die Provinz Izmir, wo die Beschwerdeführenden zuletzt bis zu ihrer Ausreise gelebt haben, als generell zumutbar zu erachten (der Beschwerdeführer B. lebte seit seiner Kindheit dort; [...]). Aus den Akten ergeben sich alsdann auch keine Hinweise darauf, dass die Beschwerdeführenden im Falle ihrer Rückkehr in die Türkei aus individuellen Gründen wirtschaftlicher oder sozialer Natur in eine existenzbedrohende Situation geraten könnten. Im Gegenteil liegen begünstigende Umstände vor. Sie verfügen in ihrer Heimat über ein grosses Beziehungsnetz. Nach eigenen Angaben leben an ihrem früheren Wohnort in Izmir resp. in der Türkei diverse Familienmitglieder (Eltern respektive Vater, Brüder und Schwestern). Angesichts ihrer achtjährigen Schulbildung, jahrelanger Arbeitserfahrung sowie ihrer Sprachkenntnisse ([...]) sollte es den Beschwerdeführenden möglich sein, dort ein wirtschaftliches Auskommen zu finden. Ferner besassen sie vor ihrer Ausreise auch einen eigenen Lebensmittelladen. Sie haben die Möglichkeit, auf die Hilfe einzelner Familienangehöriger zurückzugreifen und der Beschwerdeführer B. hat ausserdem zahlreiche Verwandte in der Schweiz, in Österreich und Deutschland, die ihm ebenfalls finanzielle Hilfe bieten können ([...]). Schliesslich genügen blosse soziale und wirtschaftliche Schwierigkeiten, von denen die ansässige Bevölkerung im Allgemeinen betroffen ist, nicht, eine konkrete Gefährdung im Sinne von Art. 83 Abs. 4 AIG darzustellen (vgl. BVGE 2008/34 E. 11.2.2).</w:t>
      </w:r>
    </w:p>
    <w:p>
      <w:r>
        <w:rPr>
          <w:b/>
        </w:rPr>
        <w:t>E. 9.3.2</w:t>
      </w:r>
    </w:p>
    <w:p>
      <w:r>
        <w:t>Der Beschwerdeführer B. gehe in der Schweiz aufgrund seiner erwähnten gesundheitlichen Einschränkungen alle zwei Wochen in Therapie ([...]). Auch in der Türkei existieren landesweit psychiatrische Einrichtungen und es stehen moderne Psychopharmaka zur Verfügung. Namentlich in türkischen Gross- und Provinzhauptstädten ist der Zugang zu Gesundheitsdiensten, Beratungsstellen und Behandlungseinrichtungen für psychische Leiden gewährleistet (vgl. hierzu etwa Urteil BVGer E-1948/2018 vom 12. Juni 2018 E. 7.3.5.3 m.w.H.), sodass es angesichts der städtischen Herkunftsprovinz für den Beschwerdeführer B. möglich und zumutbar ist, eine entsprechende Behandlung dort weiterzuführen. Es ist auf die Möglichkeit, der Vorinstanz bei Bedarf einen Antrag auf Gewährung medizinischer Rückkehrhilfe zu stellen (vgl. Art. 93 Abs. 1 Bst. d AsylG), hinzuweisen.</w:t>
      </w:r>
    </w:p>
    <w:p>
      <w:r>
        <w:rPr>
          <w:b/>
        </w:rPr>
        <w:t>E. 9.3.3</w:t>
      </w:r>
    </w:p>
    <w:p>
      <w:r>
        <w:t>Aus dem Kindeswohl gemäss Art. 3 des Übereinkommens vom 20. November 1989 über die Rechte des Kindes (KRK, SR 0.107) ist ebenso kein Vollzugshindernis abzuleiten. Aufgrund der erst kurzen Aufenthaltsdauer der beiden neun- und dreizehnjährigen Kinder in der Schweiz kann ausgeschlossen werden, dass sie sich ausserhalb ihrer Kernfamilie an die schweizerische Kultur und Lebensweise derart angepasst hätten, dass der Vollzug der Wegweisung aus der Schweiz eine Entwurzelung darstellen würde (Ausreise aus dem Heimatland 2018, Einreise in die Schweiz 2019). Aufgrund ihres Alters sollte eine dortige Reintegration keine erheblichen Probleme bieten. Begünstigend wirkt dabei ihre türkische Muttersprache, die gemeinsame Rückkehr mit ihren Eltern in ihre Heimat und das dortige Vorhandensein zahlreicher Verwandter. Es kann daher auch für die Kinder von einem vorhandenen Beziehungsnetz ausgegangen werden. Die wohlwollenden Unterstützungsschreiben von Bekannten und Lehrern ([...]), insbesondere betreffend den Beschwerdeführer U., vermögen diese Einschätzung nicht zu ändern.</w:t>
      </w:r>
    </w:p>
    <w:p>
      <w:r>
        <w:rPr>
          <w:b/>
        </w:rPr>
        <w:t>E. 9.3.4</w:t>
      </w:r>
    </w:p>
    <w:p>
      <w:r>
        <w:t>Nach dem Gesagten erweist sich der Vollzug der Wegweisung auch als zumutbar.</w:t>
      </w:r>
    </w:p>
    <w:p>
      <w:r>
        <w:rPr>
          <w:b/>
        </w:rPr>
        <w:t>E. 9.4</w:t>
      </w:r>
    </w:p>
    <w:p>
      <w:r>
        <w:t>Schliesslich obliegt es den Beschwerdeführenden, welche alle im Besitz ihrer türkischen Identitätskarten sind,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den Beschwerdeführenden ungeachtet ihrer ausgewiesenen Mittellosigkeit aufzuerlegen (Art. 63 Abs. 1 VwVG) und auf insgesamt Fr. 750.- festzusetzen (Art. 1-3 des Reglements vom 21. Februar 2008 über die Kosten und Entschädigungen vor dem Bundesverwaltungsgericht [VGKE, SR 173.320.2]). Der einbezahlte Kostenvorschuss wird zur Begleichung der Verfahrenskosten verwendet.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