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D-564/2013 vom 20. Februar 2013</w:t>
      </w:r>
    </w:p>
    <w:p>
      <w:r>
        <w:t>Bundesverwaltungsgericht, 2013-02-20, DE</w:t>
      </w:r>
    </w:p>
    <w:p>
      <w:r>
        <w:rPr>
          <w:b/>
        </w:rPr>
        <w:t xml:space="preserve">Quelle: </w:t>
      </w:r>
      <w:r>
        <w:t>https://mcp.opencaselaw.ch/entscheid/bvger_D-564_2013</w:t>
      </w:r>
    </w:p>
    <w:p>
      <w:r>
        <w:t>FR: TAF D-564/2013 du 20 février 2013</w:t>
      </w:r>
    </w:p>
    <w:p>
      <w:r>
        <w:t>IT: TAF D-564/2013 del 20 febbraio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(vgl. Art. 83 Bst. d Ziff. 1 des Bundesgerichtsgesetzes vom 17. Juni 2005 [BGG, SR 173.110]; Art. 105 AsylG).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Demnach ist das Bundesverwaltungsgericht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 Nachdem sowohl die Schreiben vom 16. März 2011, 12. März 2012 und 19. Juni 2012 als auch dasjenige vom 6. August 2012, in welchem rechtliche Schritte in Aussicht gestellt wurden für den Fall, dass bis zum15. September 2012 keine Anhörung angesetzt werde, erfolglos blieben beziehungsweise das BFM mit dem Beschwerdeführer bis zum heutigen Zeitpunkt keine Anhörung durchführte, durfte er Anfang Februar 2013 nach Treu und Glauben annehmen, auch vorderhand nicht angehört zu werden. Angesichts dessen erweist sich die am 4. Februar 2013 beim Bundesverwaltungsgericht - wie in Aussicht gestellt - erhobene Beschwerde als fristgerecht. Auf die frist- und formgerecht eingereichte Beschwerde ist einzutreten.</w:t>
      </w:r>
    </w:p>
    <w:p>
      <w:r>
        <w:rPr>
          <w:b/>
        </w:rPr>
        <w:t>E. 1.4</w:t>
      </w:r>
    </w:p>
    <w:p>
      <w:r>
        <w:t>Gestützt auf Art. 111a Abs. 1 AsylG wurde vorliegend auf einen Schriftenwechsel verzichtet.</w:t>
      </w:r>
    </w:p>
    <w:p>
      <w:r>
        <w:rPr>
          <w:b/>
        </w:rPr>
        <w:t>E. 2</w:t>
      </w:r>
    </w:p>
    <w:p>
      <w:r>
        <w:t>In der Rechtsmitteleingabe wird im Wesentlichen ausgeführt, vorliegend sei die in Art. 29 Abs. 1 AsylG statuierte gesetzliche Frist für die Anhörung um das rund 35-fache überschritten worden. Gegen die Anwendung gewisser Prioritäten bei der Verfahrenssteuerung sei an sich nichts einzuwenden. Inakzeptabel werde dies jedoch dann, wenn die gesetzlichen Fristen in den weniger prioritären Verfahren nicht mehr eingehalten werden könnten. Mit den Schnellverfahren zeige das BFM, dass es die gesetzliche Frist einhalten könnte, wenn es dies wollte. Eine späte Anhörung benachteilige die betroffene Person, da die Gefahr von Differenzen in den Aussagen zunehme, wenn die Befragungen zeitlich weit auseinander liegen würden. Dies führe zu einer Rechtsungleichheit. Darüber hinaus sei es dem Beschwerdeführer mit seinem N-Status verwehrt, im Sommer 2013 eine Lehre zu beginnen. Mit der ausgebliebenen Anhörung und in der Folge dem späten Asylentscheid entgehe ihm demnach auch eine wichtige Ausbildungsmöglichkeit. Der Antrag auf Anweisung des BFM zur baldigen Fällung eines Entscheids rechtfertige sich vorliegend ebenso, zumal die zulässige Verfahrensdauer gemäss Art. 37 Abs. 2 und 3 AsylG auch schon deutlich überschritten worden sei. Damit solle verhindert werden, dass nach durchgeführter Anhörung nochmals eine überlange Wartezeit entstehe.</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3.3.1</w:t>
      </w:r>
    </w:p>
    <w:p>
      <w:r>
        <w:t>Gemäss Art. 29 Abs. 1 AsylG hört das Bundesamt die Asylsuchenden zu den Asylgründen an in den Empfangsstellen (Bst. a) oder innerhalb von 20 Tagen nach dem Entscheid über die Zuweisung in den Kanton (Bst. b).</w:t>
      </w:r>
    </w:p>
    <w:p>
      <w:r>
        <w:rPr>
          <w:b/>
        </w:rPr>
        <w:t>E. 3.3.2</w:t>
      </w:r>
    </w:p>
    <w:p>
      <w:r>
        <w:t>Gemäss Art. 37 AsylG sind Entscheide nach den Art. 38-40 in der Regel innerhalb von 20 Arbeitstagen nach der Gesuchstellung zu treffen (Abs. 2). Sind weitere Abklärungen nach Art. 41 erforderlich, so ist der Entscheid in der Regel innerhalb von drei Monaten nach der Gesuchstellung zu treffen (Abs. 3).</w:t>
      </w:r>
    </w:p>
    <w:p>
      <w:r>
        <w:rPr>
          <w:b/>
        </w:rPr>
        <w:t>E. 4.1</w:t>
      </w:r>
    </w:p>
    <w:p>
      <w:r>
        <w:t>Dem Bundesverwaltungsgericht ist bekannt, dass die Vorinstanz bei der Bewältigung ihrer hohen Arbeitslast nicht untätig ist und Massnahmen getroffen hat, um die Pendenzen abzubauen. In Anbetracht der hohen Pendenz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AsylG ("in der Regel") zum Ausdruck kommt.</w:t>
      </w:r>
    </w:p>
    <w:p>
      <w:r>
        <w:rPr>
          <w:b/>
        </w:rPr>
        <w:t>E. 4.2</w:t>
      </w:r>
    </w:p>
    <w:p>
      <w:r>
        <w:t>Der Beschwerdeführer reichte am 18. Januar 2011 ein Asylgesuch ein. Am 1. Februar 2011 fand die Befragung zu seiner Person statt. Mit Entscheid vom 3. Februar 2011 wurde er für die Dauer des Verfahrens dem Kanton D._______ zugewiesen. Seither, mithin seit rund zwei Jahren, hat die Vorinstanz keine weiteren erkennbaren Verfahrenshandlungen vorgenommen. So fehlt es offenbar bis zum heutigen Zeitpunkt sowohl an einer Anhörung des Beschwerdeführers zu seinen Asylgründen als auch an einer das erstinstanzliche Asylverfahren abschliessenden anfechtbaren Verfügung. Eine entsprechende Anhörung hätte in Anwendung von Art. 29 Abs. 1 Bst. a und b AsylG entweder während des Aufenthalts im EVZ B._______ beziehungsweise C._______ oder innert 20 Tagen nach dem Zuweisungsentscheid an den Kanton D._______, mithin bis zum 23. Februar 2011, erfolgen müssen, während gestützt auf Art. 37 Abs. 2 und 3 AsylG eine anfechtbare Verfügung innerhalb von 20 Arbeitstagen beziehungsweise innerhalb von drei Monaten nach der Einreichung des Asylgesuchs hätte ergehen müssen. Im Weiteren ist festzuhalten, dass sich in casu weder besonders schwierige Sachverhalts- noch Rechtsfragen stellen. Zudem hat die Vorinstanz im massgebenden Zeitraum zahlreiche Verfahren, die im gleichen Zeitraum eingeleitet wurden und denen ein ähnlicher Sachverhalt zugrunde liegt, entschieden. Dementsprechend hat sie in den verschiedenen an den Rechtsvertreter gerichteten Schreiben denn auch nur auf die hohe Geschäftslast beziehungsweise die amtsinterne Priorisierung hingewiesen, ohne individuell-konkrete Gründe anzuführen. Zusammenfassend ergibt sich, dass die Vorinstanz ohne ersichtlichen Grund die in Art. 29 Abs. 1 sowie Art. 37 Abs. 2 und 3 AsylG vorgegebenen Behandlungsfristen um rund zwei Jahre überschritten hat, was einer massiven Überschreitung gleichkommt. Sie hat den Beschwerdeführer bis anhin weder zu seinen Asylgründen angehört noch eine anfechtbare Verfügung erlassen. Eine Nichtbehandlung während rund 24 Monaten ist unbesehen allfälliger anderer überzeitiger Verfahren grundsätzlich zu lange. Das Beschleunigungsgebot von Art. 29 Abs. 1 BV ist somit verletzt.</w:t>
      </w:r>
    </w:p>
    <w:p>
      <w:r>
        <w:rPr>
          <w:b/>
        </w:rPr>
        <w:t>E. 5</w:t>
      </w:r>
    </w:p>
    <w:p>
      <w:r>
        <w:t>Die Rüge der Rechtsverzögerung erweist sich nach dem Gesagten als begründet, weshalb die Beschwerde gutzuheissen ist. Die Akten gehen an die Vorinstanz zurück, verbunden mit der Anweisung, das Asylgesuch des Beschwerdeführers vom 18. Januar 2011 beförderlich zu behandeln, ihn zügig zu seinen Asylgründen anzuhören und das Asylgesuch baldmöglichst einer anfechtbaren Verfügung zuzuführen.</w:t>
      </w:r>
    </w:p>
    <w:p>
      <w:r>
        <w:rPr>
          <w:b/>
        </w:rPr>
        <w:t>E. 6.1</w:t>
      </w:r>
    </w:p>
    <w:p>
      <w:r>
        <w:t>Bei diesem Ausgang des Beschwerdeverfahrens sind keine Kosten aufzuerlegen (Art. 63 Abs. 1 VwVG). Die Gesuche um Verzicht auf die Erhebung von Verfahrenskosten und eines Kostenvorschusses sind infolgedessen als gegenstandslos zu betrachten.</w:t>
      </w:r>
    </w:p>
    <w:p>
      <w:r>
        <w:rPr>
          <w:b/>
        </w:rPr>
        <w:t>E. 6.2.1</w:t>
      </w:r>
    </w:p>
    <w:p>
      <w:r>
        <w:t>Dem rechtlich vertretenen Beschwerdeführer ist angesichts seines Obsiegens zulasten der Vorinstanz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sowie allfällige weitere notwendige Auslagen der Partei. Das Gericht setzt die Parteientschädigung aufgrund der eingereichten Kostennote oder, mangels Einreichung einer solchen, aufgrund der Akten fest (Art. 8, Art. 9 und Art. 14 Abs. 2 VGKE).</w:t>
      </w:r>
    </w:p>
    <w:p>
      <w:r>
        <w:rPr>
          <w:b/>
        </w:rPr>
        <w:t>E. 6.2.2</w:t>
      </w:r>
    </w:p>
    <w:p>
      <w:r>
        <w:t>Der Rechtsvertreter hat keine Kostennote eingereicht. Auf entsprechende Nachforderung kann verzichtet werden, da der notwendige Vertretungsaufwand aufgrund der Akten zuverlässig abgeschätzt werden kann. Unter Berücksichtigung der massgebenden Berechnungsfaktoren (Art. 8, Art. 9 und Art. 11 VGKE) ist die Parteientschädigung auf Fr. 300.- (inkl. Auslagen und Mehrwertsteuer) festzusetzen und die Vorinstanz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