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D-5645/2019 vom 21. August 2020</w:t>
      </w:r>
    </w:p>
    <w:p>
      <w:r>
        <w:t>Bundesverwaltungsgericht, 2020-08-21, DE</w:t>
      </w:r>
    </w:p>
    <w:p>
      <w:r>
        <w:rPr>
          <w:b/>
        </w:rPr>
        <w:t xml:space="preserve">Quelle: </w:t>
      </w:r>
      <w:r>
        <w:t>https://mcp.opencaselaw.ch/entscheid/bvger_D-5645_2019</w:t>
      </w:r>
    </w:p>
    <w:p>
      <w:r>
        <w:t>FR: TAF D-5645/2019 du 21 août 2020</w:t>
      </w:r>
    </w:p>
    <w:p>
      <w:r>
        <w:t>IT: TAF D-5645/2019 del 21 agosto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Er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w:t>
      </w:r>
    </w:p>
    <w:p>
      <w:r>
        <w:rPr>
          <w:b/>
        </w:rPr>
        <w:t>E. 3.1</w:t>
      </w:r>
    </w:p>
    <w:p>
      <w:r>
        <w:t>Gemäss Art. 63 Abs. 2 AsylG widerruft die Vorinstanz das Asyl, wenn Flüchtlinge die innere oder die äussere Sicherheit der Schweiz verletzt haben oder wenn sie besonders verwerfliche strafbare Handlungen begangen haben.</w:t>
      </w:r>
    </w:p>
    <w:p>
      <w:r>
        <w:rPr>
          <w:b/>
        </w:rPr>
        <w:t>E. 3.2</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das Urteil des BVGer E-4824/2014 vom 16. Februar 2016 E. 5.1 m.w.H.).</w:t>
      </w:r>
    </w:p>
    <w:p>
      <w:r>
        <w:rPr>
          <w:b/>
        </w:rPr>
        <w:t>E. 3.3</w:t>
      </w:r>
    </w:p>
    <w:p>
      <w:r>
        <w:t>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BVGE 2012/20 E. 6.1 m.w.H.).</w:t>
      </w:r>
    </w:p>
    <w:p>
      <w:r>
        <w:rPr>
          <w:b/>
        </w:rPr>
        <w:t>E. 4.1</w:t>
      </w:r>
    </w:p>
    <w:p>
      <w:r>
        <w:t>Der Beschwerdeführer macht in seiner Rechtsmittelschrift geltend, das SEM habe die spezielle Fallkonstellation nicht ausreichend berücksichtigt, indem es das Verschulden nicht in Bezug auf die Schwere des konkreten deliktischen Verhaltens, sondern hinsichtlich der allgemeinen Qualifizierung der Tat als (Nennung Delikt) beurteilt habe. Damit rügt er sinngemäss eine Verletzung der Prüfungs- und Begründungspflicht.</w:t>
      </w:r>
    </w:p>
    <w:p>
      <w:r>
        <w:rPr>
          <w:b/>
        </w:rPr>
        <w:t>E. 4.2</w:t>
      </w:r>
    </w:p>
    <w:p>
      <w:r>
        <w:t>Die Vorinstanz hat einerseits die Pflicht, den rechtserheblichen Sachverhalt richtig und vollständig abzuklären (Art. 12 VwVG i.V.m. Art. 6 AsylG) und hierzu alle für das Verfahren rechtlich relevanten Umstände abzuklären sowie ordnungsgemäss darüber Beweis zu führen. Dabei hat sie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 Die Begründungspflicht, welche sich aus dem Anspruch auf rechtliches Gehör gemäss Art. 29 VwVG ergibt, verlangt sodann, dass die Behörde ihren Entscheid so begründet, dass die betroffene Person ihn gegebenenfalls sachgerecht anfechten kann und sich sowohl sie als auch die Rechtsmittelinstanz über die Tragweite des Entscheides ein Bild machen können (vgl. Lorenz Kneubühler/Ramona Pedretti, in: Kommentar zum VwVG, 2. Aufl. 2019,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[ehemaligen] Schweizerischen Asylrekurskommission (EMARK) 2006 Nr. 24 E. 5.1).</w:t>
      </w:r>
    </w:p>
    <w:p>
      <w:r>
        <w:rPr>
          <w:b/>
        </w:rPr>
        <w:t>E. 4.3</w:t>
      </w:r>
    </w:p>
    <w:p>
      <w:r>
        <w:t>Das SEM hat sich betreffend die Beurteilung der strafbaren Handlung als "besonders verwerflich" im Sinne von Art. 63 Abs. 2 AsylG ausschliesslich auf das Strafurteil des (Nennung Behörde) vom (...) gestützt, welches ihm vom (Nennung Behörde) mit Übermittlungszettel vom (...) szugestellt worden war. Das Strafurteil erging nach Durchführung des (Nennung Verfahren und Anklage sowie Anklagebehörde), welcher der Beschwerdeführer als Angeklagter am (...) unwiderruflich zugestimmt hatte. Es ist diesem Strafurteil weder die dem Beschwerdeführer zur Last gelegte Straftat noch eine hinreichende Begründung der von der (Nennung Behörde) beantragten und vom Beschwerdeführer anerkannten Sanktionen zu entnehmen, indes wurden gemäss Ziffer (...) des Strafurteils die Straftatbestände, Sanktionen und Zivilansprüche der Anklageschrift zum Urteil erhoben. Die Anklageschrift bildet demnach wesentlicher Bestandteil des Strafurteils.</w:t>
      </w:r>
    </w:p>
    <w:p>
      <w:r>
        <w:rPr>
          <w:b/>
        </w:rPr>
        <w:t>E. 4.4</w:t>
      </w:r>
    </w:p>
    <w:p>
      <w:r>
        <w:t>Den vorinstanzlichen Akten ist nicht zu entnehmen, dass die Vorinstanz die kantonalen Strafakten oder jedenfalls die Anklageschrift beigezogen hat. Indem sich die Vorinstanz hinsichtlich des verfügten Asylwiderrufs einzig auf das - im (Nennung Verfahren) ergangene - Strafurteil des (Nennung Behörde) vom (...) gestützt hat, ohne die kantonalen Strafakten oder zumindest die Anklageschrift beizuziehen, hat es den Sachverhalt nicht richtig festgestellt und die Begründungspflicht verletzt. Das Vorgehen, bei der Würdigung der strafbaren Handlung als "besonders verwerflich" allein auf das Strafmass im Verhältnis zur gesetzlichen Mindeststrafe abzustellen, wird der einschlägigen Rechtsprechung des Bundesverwaltungsgerichts (vgl. BVGE 2012/20) nicht gerecht. Der angefochtenen Verfügung mangelt es dementsprechend an konkreten Erwägungen zur besonderen Verwerflichkeit im vorstehend (vgl. E. 3.3.) umschriebenen Sinne von Art. 63 Abs. 2 AsylG (vgl. auch Urteil des BVGer D-1071/2011 vom 23. Mai 2011). Mit dieser Unterlassung hat die Vorinstanz das rechtliche Gehör des Beschwerdeführers verletzt. Letztlich kann sich dadurch auch das Bundesverwaltungsgericht über die Tragweite des Entscheides kein abschliessendes Bild machen.</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Die Entscheidreife lässt sich im vorliegenden Verfahren nicht mit geringem Aufwand herstellen. Es ist daher angezeigt, die angefochtene Verfügung gestützt auf Art. 61 Abs. 1 in fine VwVG aufzuheben und die Sache zwecks vollständiger Abklärung des rechtserheblichen Sachverhalts und Neubeurteilung an die Vorinstanz zurückzuweisen. Im Übrigen bleibt auf diese Weise der Instanzenzug erhalten, was umso wichtiger ist, als das Bundesverwaltungsgericht letztinstanzlich entscheidet.</w:t>
      </w:r>
    </w:p>
    <w:p>
      <w:r>
        <w:rPr>
          <w:b/>
        </w:rPr>
        <w:t>E. 6</w:t>
      </w:r>
    </w:p>
    <w:p>
      <w:r>
        <w:t>Nach dem Gesagten ist die Beschwerde soweit gutzuheissen, als die angefochtene Verfügung aufzuheben und das Verfahren zur vollständigen Abklärung des rechtserheblichen Sachverhaltes und zur Neubeurteilung im Sinne der Erwägungen an das SEM zurückzuweisen ist. Angesichts der Rückweisung der Sache erübrigt sich eine Auseinandersetzung mit den weiteren Einwänden in der Beschwerde.</w:t>
      </w:r>
    </w:p>
    <w:p>
      <w:r>
        <w:rPr>
          <w:b/>
        </w:rPr>
        <w:t>E. 7.1</w:t>
      </w:r>
    </w:p>
    <w:p>
      <w:r>
        <w:t>Bei diesem Ausgang des Verfahrens sind keine Kosten zu erheben (Art. 63 Abs. 1 und 2 VwVG). Der am 16. November 2019 in Höhe von Fr. 750.- geleistete Kostenvorschuss ist dem Beschwerdeführer zurückzuzahlen.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des SEM eine Parteientschädigung von insgesamt Fr. 800.- (inklusive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