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D-5631/2007 vom 1. Juni 2010</w:t>
      </w:r>
    </w:p>
    <w:p>
      <w:r>
        <w:t>Bundesverwaltungsgericht, 2010-06-01, DE</w:t>
      </w:r>
    </w:p>
    <w:p>
      <w:r>
        <w:rPr>
          <w:b/>
        </w:rPr>
        <w:t xml:space="preserve">Quelle: </w:t>
      </w:r>
      <w:r>
        <w:t>https://mcp.opencaselaw.ch/entscheid/bvger_D-5631_2007</w:t>
      </w:r>
    </w:p>
    <w:p>
      <w:r>
        <w:t>FR: TAF D-5631/2007 du 1 juin 2010</w:t>
      </w:r>
    </w:p>
    <w:p>
      <w:r>
        <w:t>IT: TAF D-5631/2007 del 1 giugno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ist durch die angefochtene Verfügung besonders berührt und hat ein schutzwürdiges Interesse an deren Aufhebung beziehungsweise Änderung; sie ist daher zur Einreichung der Beschwerde legitimiert (Art. 105 AsylG i.V.m. Art. 37 VGG, Art. 48 Abs. 1, Art. 50 und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angefochtenen Verfügung verneinte die Vorinstanz die eritreische Staatsbürgerschaft der Beschwerdeführerin und ging davon aus, sie sei - wie von ihr im ersten Asylgesuch geltend gemacht - äthiopische Staatsbürgerin. Im Folgenden ist daher vorab zu prüfen, ob die Vorinstanz zu Recht die eritreische Staatsbürgerschaft der Beschwerdeführerin verneint hat und von deren äthiopischer Staatsangehörigkeit ausgegangen ist.</w:t>
      </w:r>
    </w:p>
    <w:p>
      <w:r>
        <w:rPr>
          <w:b/>
        </w:rPr>
        <w:t>E. 4.2</w:t>
      </w:r>
    </w:p>
    <w:p>
      <w:r>
        <w:t>Für die äthiopische Staatsangehörigkeit der Beschwerdeführerin spricht zunächst die Tatsache, dass sie sich noch im ersten Asylverfahren als Staatsangehörige von Äthiopien bezeichnet hat, obwohl von ihr schon in diesem Verfahren geltend gemacht wurde, ihre Mutter sei aufgrund ihrer eritreischen Staatsangehörigkeit von den Behörden aufgefordert worden, das Land zu verlassen (act. A 9/18, S. 12). Die Beschwerdeführerin bringt im vorliegend zu beurteilenden Asylverfahren keine plausiblen Gründe vor, weshalb es ihr nicht bereits im ersten Asylverfahren möglich gewesen wäre, ihre eritreische Staatsangehörigkeit geltend zu machen, was erhebliche Zweifel an den mit Eingabe vom 25. Mai 2007 geltend gemachten Vorbringen begründet. Für die äthiopische Staatsangehörigkeit der Beschwerdeführerin spricht zudem, dass sie - gemäss eigenen Angaben im ersten Asylverfahren - Äthiopien im Jahre 1998 mit einem im selben Jahr ausgestellten echten äthiopischen Reisepass verlassen hat (vgl. act. A 1/8, S. 3). Zweifel an der angeblichen eritreischen Staatsangehörigkeit der Beschwerdeführerin weckt auch der Umstand, dass sie es bis heute unterlassen hat, durch geeignete Ausweispapiere nachzuweisen, dass sie Eritreerin ist. An dieser Einschätzung ändert auch die Tatsache nichts, dass die Beschwerdeführerin mit Eingabe vom 25. Mai 2007 eine auf den Namen ihrer Mutter ausgestellte eritreische Identitätskarte eingereicht hat. Zu diesem eingereichten Dokument ist festzuhalten, dass dieses bestenfalls tauglich ist, den Beweis über identitätsrelevante Gegebenheiten bezüglich der Mutter zu liefern, keineswegs aber die Staatsangehörigkeit der Beschwerdeführerin im heutigen Zeitpunkt zu beweisen vermag. Schliesslich ist festzuhalten, dass es die Beschwerdeführerin bis heute unterlassen hat, irgendwelche Beweise dafür vorzulegen, dass sie die äthiopische Staatsbürgerschaft nicht mehr besitzt beziehungsweise ihr diese entzogen worden ist. Das Gericht gelangt daher nach Prüfung der Akten und der eingereichten Beweismittel zur Auffassung, dass mit überwiegender Wahrscheinlichkeit von der äthiopischen und nicht - wie geltend gemacht wird - von der eritreischen Staatsangehörigkeit der Beschwer-deführerin auszugehen ist. Bei dieser Sachlage ist den Vorbringen der Beschwerdeführerin in Bezug auf die geltend gemachte eritreische Staatsangehörigkeit die Grundlage entzogen. Deshalb besteht auch kein Anlass zur Prüfung einer allfälligen Verfolgungssituation in Eritrea beziehungsweise die Staatenlosigkeit der Beschwerdeführerin in Erwägung zu ziehen (vgl. Eingabe vom 12. Juni 2009).</w:t>
      </w:r>
    </w:p>
    <w:p>
      <w:r>
        <w:rPr>
          <w:b/>
        </w:rPr>
        <w:t>E. 5.1</w:t>
      </w:r>
    </w:p>
    <w:p>
      <w:r>
        <w:t>Die Beschwerdeführerin macht im vorliegenden Asylverfahren hinsichtlich einer Rückkehr nach Äthiopien geltend, aufgrund ihrer exilpolitischen Tätigkeiten in der Schweiz würden subjektive Nachfluchtgründe bestehen. Im Folgenden ist daher einzig zu prüfen, ob sie durch ihr Verhalten nach der Ausreise aus dem Heimatland, namentlich wegen ihres politischen Engagements in der Schweiz, Grund für eine zukünftige Verfolgung durch die äthiopischen Behörden gesetzt hat und aus diesem Grund (das heisst infolge Vorliegens subjektiver Nachfluchtgründe) die Flüchtlingseigenschaft erfüllt.</w:t>
      </w:r>
    </w:p>
    <w:p>
      <w:r>
        <w:rPr>
          <w:b/>
        </w:rPr>
        <w:t>E. 5.2</w:t>
      </w:r>
    </w:p>
    <w:p>
      <w:r>
        <w:t>Wer sich darauf beruft, dass durch sein Verhalten nach der Ausreise aus dem Heimat- oder Herkunftsland eine Gefährdungssituation erst geschaffen worden ist, macht subjektive Nachfluchtgründe geltend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das Addieren solcher Gründe mit Nachfluchtgründen, welche vor der Ausreise aus dem Heimat- oder Herkunftsstaat entstanden sind und die für sich allein nicht zur Bejahung der Flüchtlingseigenschaft und zur Asylgewährung ausreichen (vgl. BVGE 2009/28 E. 7.1 S. 352; vgl. ferner Entscheidungen und Mitteilungen der Schwei-zerischen Asylrekurskommission [EMARK] 2000 Nr. 16 E. 5 a S. 141 f., mit weiteren Hinweisen). Stattdessen werden Personen, welche subjektive Nachfluchtgründe nachweisen oder glaubhaft machen können, als Flüchtlinge vorläufig aufgenommen (vgl. dazu die nach wie vor gültigen und zutreffenden Ausführungen in EMARK 1995 Nr. 7 E. 7 b und 8 S. 67 ff.; EMARK 2000 Nr. 16 E. 5 a S. 141 f., mit weiteren Hinweisen).</w:t>
      </w:r>
    </w:p>
    <w:p>
      <w:r>
        <w:rPr>
          <w:b/>
        </w:rPr>
        <w:t>E. 5.3</w:t>
      </w:r>
    </w:p>
    <w:p>
      <w:r>
        <w:t>Zunächst ist festzuhalten, dass von der Vorinstanz nicht bestritten wird, dass sich die Beschwerdeführerin in der Schweiz exilpolitisch betätigt hat. Exilpolitische Aktivitäten können jedoch nur dann im Sinne von subjektiven Nachfluchtgründen zur Flüchtlingseigenschaft führen, wenn zumindest glaubhaft gemacht wird, dass im Falle einer Rückkehr infolge der Exilaktivität mit überwiegender Wahrscheinlichkeit mit politischer Verfolgung zu rechnen wäre. Nachfolgend ist daher zu prüfen, ob diese Voraussetzung im Fall der Beschwerdeführerin erfüllt ist.</w:t>
      </w:r>
    </w:p>
    <w:p>
      <w:r>
        <w:rPr>
          <w:b/>
        </w:rPr>
        <w:t>E. 5.4</w:t>
      </w:r>
    </w:p>
    <w:p>
      <w:r>
        <w:t>Vorab ist festzustellen, dass die Beschwerdeführerin im Rahmen ihres ersten Asylverfahrens keine politisch motivierte Verfolgung durch die äthiopischen Behörden geltend gemacht hat, weshalb auch nicht davon auszugehen ist, dass sie vor ihrer Ausreise aus Äthiopien im Visier der heimatlichen Behörden stand oder gar als Regimegegnerin oder politische Aktivistin registriert war.</w:t>
      </w:r>
    </w:p>
    <w:p>
      <w:r>
        <w:rPr>
          <w:b/>
        </w:rPr>
        <w:t>E. 5.5</w:t>
      </w:r>
    </w:p>
    <w:p>
      <w:r>
        <w:t>Gemäss den Erkenntnissen des Bundesverwaltungsgerichts (vgl. unter anderem Urteile des Bundesverwaltungsgerichts D-7416/2007 vom 27. November 2009 und D-3511/2008 vom 24. Oktober 2008) ist davon auszugehen, dass die äthiopischen Sicherheitsbehörden die Aktivitäten von Exilgemeinschaften in einem gewissen Ausmass über-wachen und mittels elektronischer Datenbanken registrieren. Unter diesen Umständen besteht eine hohe Wahrscheinlichkeit dafür, dass Aktivitäten von Personen, welche sich im Ausland für die CUDP/KINIJIT engagierten oder auch nur mit ihr sympathisierten, im Falle einer Zwangsrückschaffung dem äthiopischen Sicherheitsdienst spätestens am Flughafen bekannt würden. Demnach ist davon auszugehen, dass die äthiopischen Sicherheitsorgane eine zwangsweise aus dem Ausland zurückgeführte Person, die Anhänger oder Mitglied einer regimekritischen Organisation war oder noch ist, nach wie vor als zu verfolgenden Gegner der Regierung ansehen würden, solange von dieser Person vor ihrer Ausreise aus dem jeweiligen Gastland kein eindeutiges Bekenntnis zur verfassungsmässigen Ordnung Äthiopiens und eine klare Abkehr von der bisherigen Politik dieser regimekritischen Organisationen vorliegt. Angesichts der 2007 in Äthiopien erfolgten Amnestie von einigen Mitgliedern der CUDP/KINIJIT und der nicht unerschöpflichen Ressourcen des äthiopischen Nachrichtendienstes mag sich die Frage nach der aktuellen Überwachungsdichte in der Schweiz stellen, welche indessen im vorliegenden Fall offenbleiben kann. Von Bedeutung ist vorliegend die tatsächliche Erkennbarkeit der behaupteten exilpolitischen Tätigkeit, die Individualisierbarkeit der Beschwerdeführerin sowie deren konkrete exilpolitische Tätigkeiten.</w:t>
      </w:r>
    </w:p>
    <w:p>
      <w:r>
        <w:rPr>
          <w:b/>
        </w:rPr>
        <w:t>E. 5.6</w:t>
      </w:r>
    </w:p>
    <w:p>
      <w:r>
        <w:t>Aus den Akten geht hervor, dass die Beschwerdeführerin Mitglied der CUDP/KINIJT ist, an Sitzungen dieser Partei teilgenommen und sich in der Schweiz an diversen Protestkundgebungen gegen die äthiopische Regierung beteiligt hat. Ausserdem sind mehrere Artikel unter dem Namen der Beschwerdeführerin im Internet veröffentlicht worden. Dennoch ist ein exponierter exilpolitischer Einsatz der Beschwerdeführerin, der sie ins Zentrum des Interesses des äthiopi-schen Nachrichtendienstes rücken könnte, zu verneinen. In diesem Zusammenhang ist festzuhalten, dass bei behaupteten subjektiven Nachfluchtgründen in der Regel ein strikter Beweis möglich und deshalb auch erforderlich ist (vgl. WALTER STÖCKLI, Asyl, in: Peter Uebersax/Beat Rudin/Thomas Hugi Yar/Thomas Geiser [Hrsg.] Ausländerrecht, Handbücher für die Anwaltspraxis, Band VIII, 2. Aufl., Basel 2009, S. 568 Rz. 11.148). Das BFM führt denn in der angefochtenen Verfügung auch zu Recht aus, dass die äthiopischen Behörden nur dann ein Interesse an der Identifizierung einer Person haben, wenn deren Aktivitäten als konkrete Bedrohung für das politische System wahrgenommen werden. Für die Annahme, die Beschwerdeführerin habe sich in dieser besonderen Art und Weise betätigt, bestünden keine Anhaltspunkte. Sie gehöre mit Sicherheit nicht zur Zielgruppe des "harten Kerns" von aktiven oppositionellen Äthiopiern im Ausland, für die sich die äthiopischen Behörden interessierten. Dieser Beurteilung schliesst sich das Bundesverwaltungsgericht an, zumal die Beschwerdeführerin im ersten Asylverfahren noch keine politisch motivierte Verfolgung durch die äthiopi-schen Behörden geltend machte. Vorliegend ist zudem - entgegen der Behauptung in der Beschwerdeschrift - darauf zu schliessen, dass sich die bisherigen exilpolitischen Aktivitäten der Beschwerdeführerin ledig-lich in wenig exponierten Tätigkeiten erschöpft haben. Dafür spricht insbesondere ihre Aussage anlässlich der Anhörung vom 18. Juni 2007, wonach sie bei den Sitzungen der CUDP/KINIJT hauptsächlich für die Verpflegung zuständig sei (act. B 7/8, S. 3). Da die Beschwer-deführerin gemäss eigenen Angaben lediglich ein gewöhnliches Mitglied der CUDP/KINIJT ist, betätigt sie sich nicht in einer hohen und in der Öffentlichkeit exponierten Kaderstelle, weshalb die äthiopischen Behörden auch aus diesem Grund in ihr nicht eine ernsthafte und in ihrem Wirkungsgrad gefährliche Regimegegnerin sehen dürften. Vor diesem Hintergrund lässt die im vorliegenden Verfahren durch die weiteren Beweismittel dokumentierte Beteiligung der Beschwerdefüh-rerin an exilpolitischen Aktivitäten - sei es als Teilnehmerin an Kundgebungen und Versammlungen oder mithilfe eines Kollegen als Verfasserin von im Internet publizierten Beiträgen - von vornherein nicht das Gefährdungspotenzial ersehen, welches die Beschwerdeführerin daraus zu ziehen versucht. Entgegen der Behauptung in der Rechtsmittelschrift ist demnach nicht davon auszugehen, dass die Beschwerdeführerin bei einer Rückkehr in ihr Heimatland eine asylrechtlich relevante Gefährdung zu befürchten hat. An dieser Einschätzung ändern auch die Ausführungen im Asylgesuch vom 27. September 2006 hinsichtlich des als Beweismittel eingereichten Rundschreibens des äthiopischen Aussenministeriums vom 31. Juli 2006 nichts. Es dürfte den äthiopischen Behörden im Übrigen aufgefallen sein, dass die exilpolitische Betätigung vieler äthiopischer Asylsuchender nach der Ablehnung ihrer Asylgesuche regelmässig stark zunimmt respektive intensiver wird oder überhaupt erst ab diesem Zeitpunkt einsetzt, was das geltend gemachte politische Engagement als zweifelhaft erscheinen lässt. Im vorliegenden Verfahren fehlen jegliche Hinweise darauf, dass gegen die Beschwerdeführerin aufgrund der vorgebrachten Aktivitäten in Äthiopien ein Strafverfahren oder andere behördliche Massnahmen eingeleitet worden sind, wobei in diesem Zusammenhang unter Hinweis auf die in Art. 8 AsylG verankerte Mitwirkungspflicht festzuhalten ist, dass es nicht Sache der schweizerischen Asylbehörden sein kann, jede auch nur ansatzweise und abstrakt mögliche Gefährdungssituation im Heimatland der Beschwerdeführerin abklären zu müssen. Subjektive Nachfluchtgründe im Sinne von Art. 54 AsylG sind vorliegend daher nicht gegeben.</w:t>
      </w:r>
    </w:p>
    <w:p>
      <w:r>
        <w:rPr>
          <w:b/>
        </w:rPr>
        <w:t>E. 5.7</w:t>
      </w:r>
    </w:p>
    <w:p>
      <w:r>
        <w:t>Zusammenfassend ist festzustellen, dass die geltend gemachten subjektiven Nachfluchtgründe nicht geeignet sind, eine flüchtlingsrechtlich relevante Verfolgungsfurcht zu begründen, weshalb die Beschwerdeführerin nicht als Flüchtling anerkannt werden kann. An dieser Einschätzung vermögen weder die weiteren Ausführungen in den Eingaben noch die beigelegten Beweismittel etwas zu ändern, weshalb darauf verzichtet werden kann, auf diese weitergehend einzugehen. Unter Berücksichtigung der gesamten Umstände folgt, dass keine subjektiven Nachfluchtgründe im Sinne von Art. 54 AsylG vorliegen, weshalb die Vorinstanz zu Recht die Flüchtlingseigenschaft der Beschwerdeführerin verneint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 Gemäss Art. 32 Bst. a der Asylverordnung 1 vom 11. August 1999 über Verfahrensfragen (AsylV 1, SR 142.311) wird die Wegweisung aus der Schweiz nicht verfügt, wenn die Asyl suchende Person im Besitz einer gültigen Aufenthalts- oder Niederlassungsbewilligung ist.</w:t>
      </w:r>
    </w:p>
    <w:p>
      <w:r>
        <w:rPr>
          <w:b/>
        </w:rPr>
        <w:t>E. 6.2</w:t>
      </w:r>
    </w:p>
    <w:p>
      <w:r>
        <w:t>Die Beschwerdeführerin verfügt seit dem 24. April 2009 über eine fremdenpolizeiliche Aufenthaltsbewilligung, welche durch die zuständige kantonale Behörde mit Zustimmung des BFM gestützt auf Art. 84 Abs. 5 AuG ausgestellt wurde. Die Anordnung des Bundesamtes betreffend Wegweisung (Dispositivziffer 3 der angefochtenen Verfügung) ist unter diesen Umständen als dahin gefallen zu betrachten, da diese gegenüber dem neu erteilten Aufenthaltstitel (Aufenthaltsbewilligung B) keinen Bestand haben kann (vgl. EMARK 2001 Nr. 21 E. 11c S. 178; 2000 Nr. 30 E. 4 S. 251). Die Beschwerde ist somit zufolge Wegfalls des Streitgegenstandes insoweit gegenstandslos geworden, als im Rechtsbegehren 1 die Aufhebung (unter anderem) der Dispositivziffer 3 der Verfügung vom 19. Juli 2007 beantragt wird.</w:t>
      </w:r>
    </w:p>
    <w:p>
      <w:r>
        <w:rPr>
          <w:b/>
        </w:rPr>
        <w:t>E. 7</w:t>
      </w:r>
    </w:p>
    <w:p>
      <w:r>
        <w:t>Aus diesen Erwägungen ergibt sich, dass die angefochtene Verfügung hinsichtlich der Nichterfüllung der Flüchtlingseigenschaft sowie der Ablehnung des Asylgesuchs Bundesrecht nicht verletzt, den rechtserheblichen Sachverhalt richtig und vollständig feststellt und angemessen ist (Art. 106 AsylG). Die Verfügung der Vorinstanz vom 19. Juli 2007 ist demzufolge in Bezug auf die Nichterfüllung der Flüchtlingseigenschaft und Abweisung des Asyls zu bestätigen und die Beschwerde abzuweisen. Hinsichtlich der Anordnung der Wegweisung ist sie jedoch als gegenstandslos geworden abzuschreiben (vgl. vorstehend E. 6.2).</w:t>
      </w:r>
    </w:p>
    <w:p>
      <w:r>
        <w:rPr>
          <w:b/>
        </w:rPr>
        <w:t>E. 8.1</w:t>
      </w:r>
    </w:p>
    <w:p>
      <w:r>
        <w:t>Die Beschwerdeführerin ist im vorliegenden Verfahren unterlegen, soweit sie beantragt, die Verfügung des BFM vom 19. Juli 2007 sei aufzuheben, es sei ihre Flüchtlingseigenschaft festzustellen und ihr Asyl zu gewähren, weshalb sie insoweit kostenpflichtig wird (vgl. Art. 63 Abs. 1 VwVG).</w:t>
      </w:r>
    </w:p>
    <w:p>
      <w:r>
        <w:rPr>
          <w:b/>
        </w:rPr>
        <w:t>E. 8.2</w:t>
      </w:r>
    </w:p>
    <w:p>
      <w:r>
        <w:t>Wird das Verfahren - so wie im vorliegenden Fall - ohne Zutun der Parteien gegenstandslos, sind die Kosten aufgrund der Sachlage vor Eintritt des Erledigungsgrundes festzulegen (Art. 5 zweiter Satz des Reglements vom 21. Februar 2008 über die Kosten und Entschädigungen vor dem Bundesverwaltungsgericht [VGKE, SR 173.320.2]). Im konkreten Fall ist aufgrund der Aktenlage vor Eintritt der Gegenstandslosigkeit hinsichtlich der Anordnung der Wegweisung davon auszugehen, dass Ziffer 3 der angefochtenen Verfügung der Vorinstanz zu bestätigen gewesen wäre, da gemäss Art. 44 Abs. 2 AsylG in der Regel die Wegweisung aus der Schweiz zu verfügen ist, wenn das Asylgesuch abgewiesen wird. Auch in diesem Punkt wäre die Beschwerdeführerin somit unterlegen.</w:t>
      </w:r>
    </w:p>
    <w:p>
      <w:r>
        <w:rPr>
          <w:b/>
        </w:rPr>
        <w:t>E. 8.3</w:t>
      </w:r>
    </w:p>
    <w:p>
      <w:r>
        <w:t>Nach dem Gesagten ist die Beschwerdeführerin somit als vollständig unterlegene Partei anzusehen. Bei diesem Ausgang des Verfahrens wären ihr die Kosten von Fr. 600.-- aufzuerlegen (Art. 63 Abs. 1 und 5 VwVG). Nachdem sich die Beschwerde jedoch zum Zeitpunkt ihrer Anhängigmachung nicht als aussichtslos erwiesen hat und aufgrund der Aktenlage von der prozessualen Bedürftigkeit der Beschwerdeführerin auszugehen ist, ist das in der Rechtsmitteleingabe vom 23. August 2007 gestellte Gesuch um Gewährung der unentgeltlichen Rechtspflege (Art. 65 Abs. 1 VwVG) gutzuheissen und auf die Auferlegung von Verfahrenskosten zu verzichten.</w:t>
      </w:r>
    </w:p>
    <w:p>
      <w:r>
        <w:rPr>
          <w:b/>
        </w:rPr>
        <w:t>E. 8.4</w:t>
      </w:r>
    </w:p>
    <w:p>
      <w:r>
        <w:t>Bei dieser Sachlage ist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