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D-5629/2024 vom 8. August 2024</w:t>
      </w:r>
    </w:p>
    <w:p>
      <w:r>
        <w:t>Bundesverwaltungsgericht, 2024-08-08, DE</w:t>
      </w:r>
    </w:p>
    <w:p>
      <w:r>
        <w:rPr>
          <w:b/>
        </w:rPr>
        <w:t xml:space="preserve">Quelle: </w:t>
      </w:r>
      <w:r>
        <w:t>https://mcp.opencaselaw.ch/entscheid/bvger_D-5629_2024_d20240808</w:t>
      </w:r>
    </w:p>
    <w:p>
      <w:r>
        <w:t>FR: TAF D-5629/2024 du 8 août 2024</w:t>
      </w:r>
    </w:p>
    <w:p>
      <w:r>
        <w:t>IT: TAF D-5629/2024 del 8 agosto 2024</w:t>
      </w:r>
    </w:p>
    <w:p>
      <w:pPr>
        <w:pStyle w:val="Heading2"/>
      </w:pPr>
      <w:r>
        <w:t>Regeste</w:t>
      </w:r>
    </w:p>
    <w:p>
      <w:r>
        <w:t>Asyl und Wegweisung | Asyl und Wegweisung; Verfügung des SEM vom 8. August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D-5629/2024 Seite 5 Gestützt auf Art. 111a Abs. 1 AsylG wurde auf die Durchführung eines Schriftenwechsels verzichtet.</w:t>
      </w:r>
    </w:p>
    <w:p>
      <w:r>
        <w:rPr>
          <w:b/>
        </w:rPr>
        <w:t>E. 4</w:t>
      </w:r>
    </w:p>
    <w:p>
      <w:r>
        <w:t>Angesichts des vorliegend ergehenden Direktentscheids erweist sich das in der Beschwerde gestellte Gesuch um Gewährung des Replikrechts als gegenstandslos.</w:t>
      </w:r>
    </w:p>
    <w:p>
      <w:r>
        <w:rPr>
          <w:b/>
        </w:rPr>
        <w:t>E. 5</w:t>
      </w:r>
    </w:p>
    <w:p>
      <w:r>
        <w:t>Da die Asylvorbringen der Beschwerdeführenden eng mit denen ihres ebenfalls sich im Asylbeschwerdeverfahren befindenden Ehemannes be- ziehungsweise Vaters (D._______, Beschwerdeverfahren D-5633/2024) sowie denjenigen ihres Sohnes beziehungsweise Bruders (E._______, Beschwerdeverfahren D-5625/2024) zusammenhängen, wer- den die drei Beschwerdeverfahren koordiniert behandelt (gleiches Spruch- gremium und gleiches Urteilsdatum). Die jeweiligen Verfahrensakten wer- den von Amtes wegen beigezogen. Der Antrag auf Vereinigung der Verfah- ren ist demnach abzuweisen, derjenige auf Koordination der Verfahren gut- zuheissen.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Nach der Schutztheorie (vgl. EMARK 2006 Nr. 18), welcher die Schwei- zer Asylbehörden in ständiger Praxis folgen, ist nichtstaatliche Verfolgung</w:t>
      </w:r>
    </w:p>
    <w:p>
      <w:r>
        <w:t>D-5629/2024 Seite 6 durch Drittpersonen flüchtlingsrechtlich nur dann beachtlich, wenn der Staat unfähig oder nicht willens ist, Schutz vor einer solchen Verfolgung zu bieten. Eine Garantie für langfristigen individuellen Schutz kann dabei nicht verlangt werden. So kann es keinem Staat gelingen, seinen Bürgerinnen und Bürgern jederzeit und überall absolute Sicherheit zu gewährleisten. Demgegenüber muss der Staat über eine funktionierende und effiziente Schutzinfrastruktur verfügen, deren Inanspruchnahme der betroffenen Per- son objektiv möglich und individuell zumutbar sein muss, was jeweils im Rahmen einer Einzelfallprüfung unter Berücksichtigung des länderspezifi- schen Kontexts zu beurteilen ist (vgl. BVGE 2011/51 E. 7.3 f. und statt vie- ler das Urteil des BVGer E-4702/2024 vom 13. September 2024 E. 6.2, je m.w.H.).</w:t>
      </w:r>
    </w:p>
    <w:p>
      <w:r>
        <w:rPr>
          <w:b/>
        </w:rPr>
        <w:t>E. 7.1</w:t>
      </w:r>
    </w:p>
    <w:p>
      <w:r>
        <w:t>Das SEM erachtete die Vorbringen der Beschwerdeführenden in der angefochtenen Verfügung als asylrechtlich nicht beachtlich, das es von der Schutzfähigkeit und -willigkeit der albanischen Behörden ausgeht. Alba- nien sei ein sicherer Herkunftsstaat, bei asylrechtlich relevanter nichtstaat- licher Verfolgung könnten Betroffene durch die dortigen Behörden Schutz erhalten; diese würden konsequent gegen Bedrohung und Übergriffe durch Privatpersonen vorgehen. Die von der Familie der Opfer geltend gemachte Verfolgung sei zudem nicht aus einem im Asylgesetz aufgeführten Motiv erfolgt, sondern aus Vergeltungsgründen. Des Weiteren seien die Befürch- tungen der Beschwerdeführerin, ihre drei Kinder könnten der Blutrache zum Opfer zu fallen, hypothetisch und entbehrten einer objektiven Grund- lage. Zwar habe sie angegeben, ihr ältester Sohn sei von einem Auto mit kosovarischem Kennzeichen verfolgt worden und es sei nach ihr gefragt worden. Ihr Rückschluss, diese Vorfälle hätten mit der befürchteten Blut- fehde zu tun, lasse sich aber kaum objektiv begründen. Die Beschwerde- führenden hätten nach diesem Vorfall ohne Zwischenfälle noch weitere zwei Jahre in Tirana leben und die Beschwerdeführerin habe als Coiffeurin arbeiten können. Sie habe somit nichts geltend gemacht, das auf eine auch objektiv unmittelbar drohende asylerhebliche Gefährdung hindeuten würde. Es bestünden auch keine Hinweise darauf, dass der albanische Staat den nötigen Schutz verweigert hätte. So sei es der Beschwerdeführerin möglich gewesen, nach dem ersten Vorfall im Jahr 2016 Anzeige gegen Unbekannt zu erstatten. Dass darauf keine weiteren Handlungen seitens der Polizei erfolgt seien, erstaune nicht, da sie die Anzeige gegen Unbekannt gestellt habe und es der albanischen Polizei nur schwer möglich gewesen sein</w:t>
      </w:r>
    </w:p>
    <w:p>
      <w:r>
        <w:t>D-5629/2024 Seite 7 dürfte, auf eine solche Anzeige aktiv zu werden. Es wäre der Beschwerde- führerin aber bereits in diesem Zeitpunkt zumutbar gewesen, die Personen der verfeindeten Familie mit Namen bei den Behörden zu melden und sich bei ihnen um Schutz zu bemühen. Darüber hinaus habe die Beschwerde- führerin selbst angegeben, keine Probleme mit den albanischen Behörden gehabt zu haben, sondern dass ihr Vater Verbindungen zum Kommissariat gehabt habe. Deshalb sei anzunehmen, dass sie mit den behördlichen Pro- zessen vertraut sei und entsprechende Schutzmassnahmen in Anspruch nehmen könne.</w:t>
      </w:r>
    </w:p>
    <w:p>
      <w:r>
        <w:rPr>
          <w:b/>
        </w:rPr>
        <w:t>E. 7.2</w:t>
      </w:r>
    </w:p>
    <w:p>
      <w:r>
        <w:t>In der Beschwerde führten die Beschwerdeführenden aus, die Polizei- behörden in Albanien seien nicht schutzwillig, weil sie befürchteten, selbst Opfer von Racheakten zu werden. Es herrsche dort keine Rechtsstaatlich- keit, und Korruption und organisierte Kriminalität reiche bei den Behörden bis in hohe Regierungsämter. Die einflussreiche Opferfamilie könne die Un- tätigkeit der Polizeibehörden sowohl durch Drohungen erwirken als auch durch Bestechungsgelder erkaufen. Zudem habe ihr Ehemann bezie- hungsweise Vater in der Vergangenheit Probleme mit dem örtlichen Poli- zeipräsidenten gehabt, und die albanische Bevölkerung habe aufgrund ih- rer schlechten Erfahrungen kein Vertrauen in das Rechtssystem und die Strafverfolgungsbehörden. Da der erwachsene Sohn der Beschwerdefüh- rerin in Tirana im Jahr 2016 beinahe entführt worden wäre, sei ihre Furcht vor Racheakten keineswegs rein hypothetisch. Dass ihr Ehemann bezie- hungsweise Vater bisher keinen Vergeltungsmassnahmen zum Opfer ge- fallen sei, liege nur daran, dass er sich seit 2002 fast ausschliesslich im Ausland aufgehalten habe und auch dort stets sehr vorsichtig gewesen sei. Zudem habe der Ehemann beziehungsweise Vater die Familienmitglieder aus Angst, auch ihnen drohe die Blutrache, kaum je alleine gelassen. Ihr Schwager beziehungsweise Onkel sei im Gefängnis vor Vergeltungsmass- nahmen geschützt gewesen. Sie selbst seien ebenfalls in den Fokus der Blutrache geraten, da vermehrt auch Frauen und Jugendliche getötet wür- den.</w:t>
      </w:r>
    </w:p>
    <w:p>
      <w:r>
        <w:rPr>
          <w:b/>
        </w:rPr>
        <w:t>E. 8.1</w:t>
      </w:r>
    </w:p>
    <w:p>
      <w:r>
        <w:t>Sofern die Beschwerdeführenden geltend machen, sie seien von einer mit ihrer Familie verfeindeten kosovarischen Familie bedroht und könnten Opfer einer Blutrache werden, ist festzustellen, dass die Beschwerdefüh- rerin gemäss ihren Aussagen in der Anhörung keine Situationen erlebt hat, aus denen eine unmittelbare Gefährdung ihrerseits oder ihrer beiden min- derjährigen Kinder abgeleitet werden könnte. Insbesondere trifft dies auf die vorgebrachten Vorfälle zu, als ihr inzwischen volljähriger Sohn</w:t>
      </w:r>
    </w:p>
    <w:p>
      <w:r>
        <w:t>D-5629/2024 Seite 8 E._______ von unbekannten Personen auf einem Spielpatz nach seinem Vater befragt wurde und von einem Auto verfolgt, nach ihr und ihren Kin- dern befragt und Handlungen ausgesetzt gewesen sei, die ihn "be- schmutzt" hätten. Die ihr und ihrer Familie angeblich drohende Gefahr be- gründete die Beschwerdeführerin vielmehr einzig damit, dass ihr Schwager ein Verbrechen begangen, dafür verurteilt und ihr Ehemann in Kosovo we- gen derselben Tat angeklagt worden sei, was zu einer Situation der Blutra- che geführt habe. Dieser Sachverhalt vermag aber, wie nachfolgend auf- gezeigt wird, keine asylrechtliche Verfolgung im Sinne von Art. 3 Abs. 1 AsylG zu begründen, welche zur Feststellung der Flüchtlingseigenschaft führen könnte.</w:t>
      </w:r>
    </w:p>
    <w:p>
      <w:r>
        <w:rPr>
          <w:b/>
        </w:rPr>
        <w:t>E. 8.2</w:t>
      </w:r>
    </w:p>
    <w:p>
      <w:r>
        <w:t>Zunächst ist festzustellen, dass einer drohenden Blutrache kein asylre- levantes Motiv im Sinne des Art. 3 Abs. 1 AsylG zugrunde liegt, sondern eine private, ausserhalb des Justizsystems erfolgende Vergeltungsmass- nahme gegen eine Person, die ein (vermeintliches) Unrecht begangen hat, darstellt (vgl. Urteile des BVGer D-4407/2020 vom 10. September 2020 E. 6.2, D-1054/2018 vom 20. März 2020 E. 6.3). Zudem sind, wie unter E. 6.3 dargelegt, Übergriffe von privaten Dritten flüchtlingsrechtlich nur dann relevant, wenn es der betroffenen Person nicht möglich ist, im Hei- matstaat Schutz vor diesen Übergriffen zu finden. Der Bundesrat hat Alba- nien mit Beschluss vom 6. März 2009 als verfolgungssicheren Staat ("Safe Country of origin") eingestuft. Die Bezeichnung eines Staates als "Safe Country" beinhaltet die Regelvermutung, dass dort keine asylrechtlich re- levante staatliche Verfolgung stattfindet und der Schutz vor nicht-staatli- cher Verfolgung gewährleistet ist. Hierbei handelt es sich jedoch um eine relative Verfolgungssicherheit, die im Einzelfall auf Grund konkreter und substantiierter Hinweise widerlegt werden kann. Gemäss Rechtsprechung des Bundesverwaltungsgerichts gehen die zuständigen Behörden in Alba- nien im Rahmen ihrer Möglichkeiten konsequent gegen Bedrohungen und Übergriffe durch Privatpersonen vor. Insofern ist vom Schutzwillen und von der weitgehenden Schutzfähigkeit der Sicherheitsbehörden auszugehen Es besteht damit keine systematische Verweigerung des Schutzes der von Blutrache bedrohten Personen durch die albanischen Behörden. So wurde auch in zahlreichen bundesverwaltungsgerichtlichen Urteilen die Schutzfä- higkeit und -willigkeit des albanischen Staates bei von Blutrache bedrohten Personen bejaht (Urteile des BVGer E-2084/2021, E-2085/2021 vom 22. Juni 2021 E. 6.2; E-4982/2020 vom 15. Januar 2021 E. 5.1 und E-4687/2019 vom 7. Oktober 2019 E. 4.1).Wie bereits in der angefochte- nen Verfügung ausgeführt, wäre es den Beschwerdeführenden bei Nach- stellungen seitens der Familie des Opfers unbenommen gewesen, bei</w:t>
      </w:r>
    </w:p>
    <w:p>
      <w:r>
        <w:t>D-5629/2024 Seite 9 Bedarf nebst der durch die Beschwerdeführerin eingereichten Anzeige bei der Polizei erneut den Schutz der albanischen Behörden in Anspruch zu nehmen, zumal im vorliegenden Fall keine Hinweise darauf vorliegen, dass sich diese nicht ihren Möglichkeiten entsprechend für ihre Sicherheit ein- gesetzt hätten. Ihre diesbezügliche Aussage, ihre beim Staat arbeitenden Bekannten hätten ihr mitgeteilt, sie könnten ihr keinen Schutz bieten und auch der Staat könne sie nicht schützen (SEM-Akte A64 F75 und F83), vermag die in Albanien angenommene grundsätzliche Verfolgungssicher- heit nicht zu entkräften. Ebenso wenig vermag dies ihre Befürchtung, die Behörden würden solche Angelegenheiten nicht ernst nehmen (SEM-Akte A64 F106). Es ist demnach nicht davon auszugehen, dass die Behörden den Beschwerdeführenden im Fall einer konkreten Gefährdung den Schutz verweigern würden.</w:t>
      </w:r>
    </w:p>
    <w:p>
      <w:r>
        <w:rPr>
          <w:b/>
        </w:rPr>
        <w:t>E. 8.3</w:t>
      </w:r>
    </w:p>
    <w:p>
      <w:r>
        <w:t>Die Vorbringen der Beschwerdeführenden vermögen den Anforderun- gen an die asylrechtliche Relevanz nicht standzuhalten. Die Vorinstanz hat ihre Flüchtlingseigenschaft somit zu Recht verneint und ihr Asylgesuch ab- gelehnt.</w:t>
      </w:r>
    </w:p>
    <w:p>
      <w:r>
        <w:rPr>
          <w:b/>
        </w:rPr>
        <w:t>E. 9</w:t>
      </w:r>
    </w:p>
    <w:p>
      <w:r>
        <w:t>Soweit die Beschwerdeführenden beantragen, sie seien in die Flüchtlings- eigenschaft ihres Ehemannes beziehungsweise Vaters D._______ (N […]) einzubeziehen, ist festzustellen, dass diesem mit am gleichen Tag erge- henden Entscheid (Urteil des BVGer D-5633/2024 vom 10. Januar 2025) die Flüchtlingseigenschaft nicht zuerkannt wurde. Entsprechend ist der An- trag der Beschwerdeführenden auf Einbezug in die Flüchtlingseigenschaft von D._______ abzuweisen.</w:t>
      </w:r>
    </w:p>
    <w:p>
      <w:r>
        <w:rPr>
          <w:b/>
        </w:rPr>
        <w:t>E. 10</w:t>
      </w:r>
    </w:p>
    <w:p>
      <w:r>
        <w:t>Der Subeventualantrag, die Verfügung sei aufzuheben und die Sache sei zur Neubeurteilung an das SEM zurückzuweisen, wurde in der Beschwer- deschrift nicht begründet. Da die Beschwerdeführenden weder ausführen noch sich Hinweise aus den Akten ergeben, inwiefern die betreffenden Er- wägungen des SEM den verfahrensrechtlichen Vorgaben nicht entspre- chen sollten, ist dieser Antrag abzuweisen.</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t>D-5629/2024 Seite 10</w:t>
      </w:r>
    </w:p>
    <w:p>
      <w:r>
        <w:rPr>
          <w:b/>
        </w:rPr>
        <w:t>E. 11.2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12.2.2</w:t>
      </w:r>
    </w:p>
    <w:p>
      <w:r>
        <w:t>Da es den Beschwerdeführenden nicht gelungen ist, eine asylrecht- lich erhebliche Gefährdung nachzuweisen oder glaubhaft zu machen, kann der in Art. 5 AsylG verankerte Grundsatz der Nichtrückschiebung im vorlie- genden Verfahren keine Anwendung finden. Eine Rückkehr der Beschwerdeführenden in den Heimatstaat ist demnach unter dem Aspekt von Art. 5 AsylG rechtmässig.</w:t>
      </w:r>
    </w:p>
    <w:p>
      <w:r>
        <w:rPr>
          <w:b/>
        </w:rPr>
        <w:t>E. 12.2.3</w:t>
      </w:r>
    </w:p>
    <w:p>
      <w:r>
        <w:t>Sodann ergeben sich weder aus den Aussagen der Beschwerde- führenden noch aus den Akten Anhaltspunkte dafür, dass sie für den Fall</w:t>
      </w:r>
    </w:p>
    <w:p>
      <w:r>
        <w:t>D-5629/2024 Seite 11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 zumal Albanien ein «Safe Country of ori- gin» ist. 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12.3.2</w:t>
      </w:r>
    </w:p>
    <w:p>
      <w:r>
        <w:t>Die allgemeine Lage in Albanien, die weder von Bürgerkrieg noch von allgemeiner Gewalt gekennzeichnet ist, steht einem Wegweisungsvoll- zug nicht entgegen. Der Bundesrat hat Albanien als Staat bezeichnet, in den die Rückkehr in aller Regel zumutbar ist (Art. 83 Abs. 5 AIG i.V.m. Art. 18 der Verordnung über den Vollzug der Weg- und Ausweisung sowie der Landesverweisung von ausländischen Personen [VVWAL, SR 142.281] und Anhang 2 der Verordnung).</w:t>
      </w:r>
    </w:p>
    <w:p>
      <w:r>
        <w:rPr>
          <w:b/>
        </w:rPr>
        <w:t>E. 12.3.3</w:t>
      </w:r>
    </w:p>
    <w:p>
      <w:r>
        <w:t>Die Beschwerdeführenden vermögen die gesetzliche Vermutung der Zumutbarkeit der Rückkehr nach Albanien mit ihren Vorbringen nicht umzustossen. Es ist nicht davon auszugehen, sie würden bei einer Rück- kehr aus individuellen Gründen wirtschaftlicher, sozialer oder gesundheitli- cher Natur in eine ihre Existenz gefährdende Situation geraten. Die von der Beschwerdeführerin geltend gemachten psychischen und körperlichen Be- schwerden (Angst- und Stresszustände sowie Anämie, vgl. SEM-Akte A64 F4–F8) sind in Albanien behandelbar. Die Beschwerdeführerin hat das Gymnasium abgeschlossen und arbeitete in Albanien als Coiffeurin. Sie hat den Akten zufolge, auch wenn ihre finanzielle Situation nicht gut</w:t>
      </w:r>
    </w:p>
    <w:p>
      <w:r>
        <w:t>D-5629/2024 Seite 12 gewesen sein mag, den Lebensunterhalt ihrer Familie selbst bestreiten können (SEM-Akte A64 F36–F39). Der Vollzug der Wegweisung ist dem- nach auch zumutbar.</w:t>
      </w:r>
    </w:p>
    <w:p>
      <w:r>
        <w:rPr>
          <w:b/>
        </w:rPr>
        <w:t>E. 12.4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Einer Beschwerde im Asylverfahren kommt grundsätzlich von Gesetzes wegen aufschiebende Wirkung zu, weshalb – sofern das SEM ihr die auf- schiebende Wirkung nicht entzieht – Beschwerdeführende den Abschluss eines Verfahrens von Amtes wegen in der Schweiz abwarten dürfen (Art. 42 AsylG [SR 142.31]). Insofern wäre auf die Anträge, der Be- schwerde sei die aufschiebende Wirkung zu erteilen und die Vollzugsbe- hörden seien anzuweisen, für die Dauer des Beschwerdeverfahrens auf jegliche Vollzugshandlungen zu verzichten, nicht einzutreten. Die Anträge werden aber mit dem vorliegenden Beschwerdeurteil ohnehin gegen- standslos.</w:t>
      </w:r>
    </w:p>
    <w:p>
      <w:r>
        <w:rPr>
          <w:b/>
        </w:rPr>
        <w:t>E. 15.1</w:t>
      </w:r>
    </w:p>
    <w:p>
      <w:r>
        <w:t>Mit dem vorliegenden Urteil sind die Gesuche um Befreiung von der Kostenvorschusspflicht gemäss Art. 63 Abs. 4 VwVG und um Gewährung der amtlichen Rechtsverbeiständung gemäss Art. 102m Abs. 1 AsylG ge- genstandslos geworden.</w:t>
      </w:r>
    </w:p>
    <w:p>
      <w:r>
        <w:rPr>
          <w:b/>
        </w:rPr>
        <w:t>E. 15.2</w:t>
      </w:r>
    </w:p>
    <w:p>
      <w:r>
        <w:t>Das Gesuch um Gewährung der unentgeltlichen Prozessführung im Sinne von Art. 65 Abs. 1 VwVG ist abzuweisen, da sich die Beschwerde als von Anfang an aussichtslos erwiesen hat.</w:t>
      </w:r>
    </w:p>
    <w:p>
      <w:r>
        <w:t>D-5629/2024 Seite 13</w:t>
      </w:r>
    </w:p>
    <w:p>
      <w:r>
        <w:rPr>
          <w:b/>
        </w:rPr>
        <w:t>E. 15.3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D-5629/2024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