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D-5625/2024 vom 10. Januar 2025</w:t>
      </w:r>
    </w:p>
    <w:p>
      <w:r>
        <w:t>Bundesverwaltungsgericht, 2025-01-10, DE</w:t>
      </w:r>
    </w:p>
    <w:p>
      <w:r>
        <w:rPr>
          <w:b/>
        </w:rPr>
        <w:t xml:space="preserve">Quelle: </w:t>
      </w:r>
      <w:r>
        <w:t>https://mcp.opencaselaw.ch/entscheid/bvger_D-5625_2024</w:t>
      </w:r>
    </w:p>
    <w:p>
      <w:r>
        <w:t>FR: TAF D-5625/2024 du 10 janvier 2025</w:t>
      </w:r>
    </w:p>
    <w:p>
      <w:r>
        <w:t>IT: TAF D-5625/2024 del 10 gennaio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Angesichts des vorliegend ergehenden Direktentscheids erweist sich das in der Beschwerde gestellte Gesuch um Gewährung des Replikrechts als gegenstandslos.</w:t>
      </w:r>
    </w:p>
    <w:p>
      <w:r>
        <w:rPr>
          <w:b/>
        </w:rPr>
        <w:t>E. 5</w:t>
      </w:r>
    </w:p>
    <w:p>
      <w:r>
        <w:t>Da die Asylvorbringen des Beschwerdeführers eng mit denen seiner eben- falls sich im Asylbeschwerdeverfahren befindenden Eltern und Geschwis- ter (Vater B._______, Beschwerdeverfahren D-5633/2024; Mutter C._______, Beschwerdeverfahren D-5629/2024) zusammenhängen,</w:t>
      </w:r>
    </w:p>
    <w:p>
      <w:r>
        <w:t>D-5625/2024 Seite 5 werden die drei Beschwerdeverfahren koordiniert behandelt (gleiches Spruchgremium und gleiches Urteilsdatum). Die jeweiligen Verfahrensak- ten werden von Amtes wegen beigezogen. Der Antrag auf Vereinigung der Verfahren ist demnach abzuweisen, derjenige auf Koordination der Verfah- ren gutzuheissen.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Nach der Schutztheorie (vgl. EMARK 2006 Nr. 18), welcher die Schwei- zer Asylbehörden in ständiger Praxis folgen,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absolute Sicherheit zu gewährleisten. Demgegenüber muss der Staat über eine funktionierende und effiziente Schutzinfrastruktur verfügen, deren Inanspruchnahme der betroffenen Per- son objektiv möglich und individuell zumutbar sein muss, was jeweils im Rahmen einer Einzelfallprüfung unter Berücksichtigung des länderspezifi- schen Kontexts zu beurteilen ist (vgl. BVGE 2011/51 E. 7.3 f. und statt vie- ler das Urteil des BVGer E-4702/2024 vom 13. September 2024 E. 6.2, je m.w.H.).</w:t>
      </w:r>
    </w:p>
    <w:p>
      <w:r>
        <w:t>D-5625/2024 Seite 6</w:t>
      </w:r>
    </w:p>
    <w:p>
      <w:r>
        <w:rPr>
          <w:b/>
        </w:rPr>
        <w:t>E. 7.1</w:t>
      </w:r>
    </w:p>
    <w:p>
      <w:r>
        <w:t>Das SEM erachtete die Vorbringen des Beschwerdeführers in der an- gefochtenen Verfügung als asylrechtlich nicht beachtlich, da es von der Schutzfähigkeit und -willigkeit der albanischen Behörden ausgeht. Alba- nien sei ein sicherer Herkunftsstaat, bei asylrechtlich relevanter nichtstaat- licher Verfolgung könnten Betroffene durch die dortigen Behörden Schutz erhalten, denn diese würden konsequent gegen Bedrohung und Übergriffe durch Privatpersonen vorgehen. Die Verfolgung, die dem Beschwerdefüh- rer von Seiten der Familienmitglieder der Opfer der Straftat des Onkels an- geblich drohe, sei zudem nicht aus einem im Asylgesetz genannten Motiv erfolgt, sondern aus Vergeltungsgründen. Des Weiteren seien die Befürch- tungen des Beschwerdeführers, der Blutrache zum Opfer zu fallen, hypo- thetisch und entbehrten einer objektiven Grundlage. Er habe keinen kon- kreten Sachverhalt vorgetragen, aus dem auf eine unmittelbar drohende Gefährdung geschlossen werden könne. Der von ihm geschilderte Vorfall, bei welchem er von unbekannten Personen nach seinem Vater gefragt wor- den sei, lasse keine Rückschlüsse darauf zu, ob tatsächlich die verfeindete Familie dahinterstehe, deren Racheakte er befürchte. Es bestünden auch keine Hinweise darauf, dass der albanische Staat ihm den Schutz verweigert hätte. So sei es seiner Mutter möglich gewesen, nach dem ersten Vorfall Anzeige gegen Unbekannt zu erstatten. Dass da- rauf keine weiteren Handlungen seitens der Polizei erfolgt seien, erstaune nicht, da sich diese unbekannten Personen lediglich nach seinem Vater erkundigt hätten, ohne Handlungsabsichten oder Drohungen zu äussern. Auch hätte es ihm offen gestanden, sich – nachdem er von einem Auto verfolgt worden sei –, schutzsuchend an die Polizei zu wenden, sofern er tatsächlich bedroht worden wäre. Es bleibe offen, ob die Behörden ihm hätten Unterstützung leisten können, da er sich nicht um staatlichen Schutz bemüht habe. Er wäre verpflichtet gewesen, sämtliche ihm zur Verfügung stehenden Möglichkeiten in Anspruch zu nehmen. Da er dies unterlassen habe, könne nicht davon ausgegangen werden, dass die albanischen Be- hörden ihm bei Bedarf keinen Schutz gewähren würden.</w:t>
      </w:r>
    </w:p>
    <w:p>
      <w:r>
        <w:rPr>
          <w:b/>
        </w:rPr>
        <w:t>E. 7.2</w:t>
      </w:r>
    </w:p>
    <w:p>
      <w:r>
        <w:t>In der Beschwerde entgegnete der Beschwerdeführer, die Polizeibe- hörden in Albanien seien nicht schutzwillig, weil sie befürchteten, selbst Opfer einer Blutrache zu werden. Es herrsche dort keine Rechtsstaatlich- keit, und Korruption und organisierte Kriminalität reiche bei den Behörden bis in hohe Regierungsämter. Die einflussreiche Opferfamilie könne sich die Untätigkeit der Polizeibehörden sowohl durch Drohungen erwirken als auch durch Bestechungsgelder erkaufen. Zudem habe sein Vater in der</w:t>
      </w:r>
    </w:p>
    <w:p>
      <w:r>
        <w:t>D-5625/2024 Seite 7 Vergangenheit Probleme mit dem örtlichen Polizeipräsidenten gehabt und die albanische Bevölkerung habe aufgrund ihrer schlechten Erfahrungen kein Vertrauen in das Rechtssystem und die Strafverfolgungsbehörden. Da er in Tirana im Jahr 2016 beinahe entführt worden wäre, sei seine Furcht vor Racheakten keineswegs rein hypothetisch. Dass sein Vater bisher kei- nen Vergeltungsmassnahmen zum Opfer gefallen sei, liege daran, dass er sich seit 2002 fast ausschliesslich im Ausland aufgehalten habe und auch dort stets sehr vorsichtig gewesen sei. Er selbst sei von seinem Vater be- reits als Kind sorgfältig beaufsichtigt und selten alleine gelassen worden. Sein Onkel sei im Gefängnis vor Vergeltungsmassnahmen geschützt ge- wesen. Er sei nun aufgrund seiner Volljährigkeit in den Fokus der Blutrache geraten, und bei den weiteren Familienmitgliedern werde dies ebenfalls der Fall sein, da vermehrt auch Frauen getötet würden und auch seine Ge- schwister nun erwachsen würden.</w:t>
      </w:r>
    </w:p>
    <w:p>
      <w:r>
        <w:rPr>
          <w:b/>
        </w:rPr>
        <w:t>E. 8.1</w:t>
      </w:r>
    </w:p>
    <w:p>
      <w:r>
        <w:t>Bei der vom Beschwerdeführer geltend gemachten von Privatpersonen ausgehenden Bedrohung handelt es sich nicht um eine asylrechtliche Ver- folgung im Sinne von Art. 3 Abs. 1 AsylG, welche die Flüchtlingseigenschaft zu begründen vermöchte.</w:t>
      </w:r>
    </w:p>
    <w:p>
      <w:r>
        <w:rPr>
          <w:b/>
        </w:rPr>
        <w:t>E. 8.2</w:t>
      </w:r>
    </w:p>
    <w:p>
      <w:r>
        <w:t>Zunächst ist festzustellen, dass der vom Beschwerdeführer geltend ge- machten drohenden Blutrache kein asylrelevantes Motiv im Sinne des Art. 3 Abs. 1 AsylG zugrunde liegt, sondern eine private ausserhalb des Justizsystems erfolgende Vergeltungsmassnahme gegen ihn als Person, die ein (vermeintliches) Unrecht begangen hat, darstellt (vgl. Urteile des BVGer D-4407/2020 vom 10. September 2020 E. 6.2, D-1054/2018 vom 20. März 2020 E. 6.3). Zudem sind, wie unter E. 6.3 dargelegt, Übergriffe von privaten Dritten flüchtlingsrechtlich nur dann relevant, wenn es der be- troffenen Person nicht möglich ist, im Heimatstaat Schutz vor diesen Über- griffen zu finden. Der Bundesrat hat Albanien mit Beschluss vom 6. März 2009 als verfolgungssicheren Staat ("Safe Country of origin") eingestuft. Die Bezeichnung eines Staates als "Safe Country" beinhaltet die Regelver- mutung, dass dort keine asylrechtlich relevante staatliche Verfolgung statt- findet und der Schutz vor nicht-staatlicher Verfolgung gewährleistet ist. Hierbei handelt es sich jedoch um eine relative Verfolgungssicherheit, die im Einzelfall auf Grund konkreter und substantiierter Hinweise widerlegt werden kann. Es besteht keine systematische Verweigerung des Schutzes der von Blutrache bedrohten Personen durch die albanischen Behörden. So wurde auch in zahlreichen bundesverwaltungsgerichtlichen Urteilen die Schutzfähigkeit und -willigkeit des albanischen Staates bei von Blutrache</w:t>
      </w:r>
    </w:p>
    <w:p>
      <w:r>
        <w:t>D-5625/2024 Seite 8 bedrohten Personen bejaht. Insofern ist vom Schutzwillen und von der weitgehenden Schutzfähigkeit der Sicherheitsbehörden auszugehen (Ur- teile des BVGer E-2084/2021, E-2085/2021 vom 22. Juni 2021; E-4982/2020 vom 15. Januar 2021 E. 5.1 und E-4687/2019 vom 7. Oktober 2019 E. 4.1). Wie bereits in der angefochtenen Verfügung ausgeführt, wäre es dem Beschwerdeführer bei Nachstellungen seitens der Familie des Op- fers unbenommen gewesen, nebst der durch seine Mutter eingereichten Anzeige bei der Polizei bei Bedarf ebenfalls den Schutz der albanischen Behörden in Anspruch zu nehmen. Seine diesbezügliche Aussage, die Be- hörden hätten ihn bei einer Anzeigeerstattung ohnehin wieder nach Hause geschickt (SEM-Akte A31 F101), weshalb er sich gar nicht erst an die Be- hörden gewandt habe, vermag die im Herkunftsstaat Albanien angenom- mene grundsätzliche Verfolgungssicherheit nicht zu entkräften.</w:t>
      </w:r>
    </w:p>
    <w:p>
      <w:r>
        <w:rPr>
          <w:b/>
        </w:rPr>
        <w:t>E. 8.3</w:t>
      </w:r>
    </w:p>
    <w:p>
      <w:r>
        <w:t>Schliesslich ist mit der Vorinstanz festzustellen, dass die vom Be- schwerdeführer geschilderten Gefährdungsmomente – sie hätten vernom- men, dass verschiedene kosovarische Staatsangehörige Anwohnern ihres Quartiers (eventuell) Fragen gestellt hätten und er sei von einem fremden Auto verfolgt worden (SEM-Akte A20 F100, F104) – nicht genügen, um vom Vorliegen einer Gefährdung im Sinne des Asylgesetzes auszugehen. Im Weiteren machte der Beschwerdeführer, abgesehen von seiner subjek- tiven Furcht vor einem Angriff und der behaupteten Notwendigkeit, beim Verlassen des Hauses eine Waffe tragen zu müssen, keine Nachteile gel- tend. Auch die Aussagen seiner Eltern, wonach der Beschwerdeführer traumatisiert und "beschmutzt" sei nach dem Überfall (vgl. SEM-Akten N1323557 A64 F78, F86) finden in den Akten des Sohnes keine Stütze. Darüber hinaus lassen auch die zu den Akten gereichten Beweismittel (Do- kumente eines Strafverfahrens in Kosovo seinen Onkel und seinen Vater betreffend) keine Gefährdung des Beschwerdeführers erkennen, sondern stützen allenfalls den geltend gemachten Sachverhalt, der aber weder von der Vorinstanz noch vom Gericht angezweifelt wird.</w:t>
      </w:r>
    </w:p>
    <w:p>
      <w:r>
        <w:rPr>
          <w:b/>
        </w:rPr>
        <w:t>E. 8.4</w:t>
      </w:r>
    </w:p>
    <w:p>
      <w:r>
        <w:t>Die Vorbringen des Beschwerdeführers vermögen demnach den Anfor- derungen an die asylrechtliche Relevanz nicht standzuhalten. Die Vor- instanz hat die Flüchtlingseigenschaft des Beschwerdeführers somit zu Recht verneint und sein Asylgesuch abgelehnt.</w:t>
      </w:r>
    </w:p>
    <w:p>
      <w:r>
        <w:rPr>
          <w:b/>
        </w:rPr>
        <w:t>E. 9</w:t>
      </w:r>
    </w:p>
    <w:p>
      <w:r>
        <w:t>Der Subeventualantrag, die Verfügung sei aufzuheben und die Sache zur Neubeurteilung an das SEM zurückzuweisen, wurde in der Beschwerde- schrift nicht begründet. Da der Beschwerdeführer weder ausführt noch sich</w:t>
      </w:r>
    </w:p>
    <w:p>
      <w:r>
        <w:t>D-5625/2024 Seite 9 Hinweise aus den Akten ergeben, inwiefern die betreffenden Erwägungen des SEM den verfahrensrechtlichen Vorgaben nicht entsprechen sollten, ist dieser Antrag abzuweisen.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D-5625/2024 Seite 10</w:t>
      </w:r>
    </w:p>
    <w:p>
      <w:r>
        <w:rPr>
          <w:b/>
        </w:rPr>
        <w:t>E. 11.2.2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w:t>
      </w:r>
    </w:p>
    <w:p>
      <w:r>
        <w:rPr>
          <w:b/>
        </w:rPr>
        <w:t>E. 11.2.3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zumal Albanien wie dargelegt als «Safe Country» gilt.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Die allgemeine Lage in Albanien, die weder von Bürgerkrieg noch von allgemeiner Gewalt gekennzeichnet ist, steht einem Wegweisungsvoll- zug nicht entgegen. Der Bundesrat hat Albanien als Staat bezeichnet, in den die Rückkehr in aller Regel zumutbar ist (Art. 83 Abs. 5 AIG i.V.m. Art. 18 der Verordnung über den Vollzug der Weg- und Ausweisung sowie der Landesverweisung von ausländischen Personen [VVWAL, SR 142.281] und Anhang 2 der Verordnung).</w:t>
      </w:r>
    </w:p>
    <w:p>
      <w:r>
        <w:t>D-5625/2024 Seite 11</w:t>
      </w:r>
    </w:p>
    <w:p>
      <w:r>
        <w:rPr>
          <w:b/>
        </w:rPr>
        <w:t>E. 11.3.3</w:t>
      </w:r>
    </w:p>
    <w:p>
      <w:r>
        <w:t>Der Beschwerdeführer vermag die gesetzliche Vermutung der Zu- mutbarkeit der Rückkehr nach Albanien mit seinen Vorbringen nicht umzu- stossen. Es ist nicht davon auszugehen, er würde bei einer Rückkehr aus individuellen Gründen wirtschaftlicher, sozialer oder gesundheitlicher Natur in eine seine Existenz gefährdende Situation geraten. Seine geltend ge- machten psychischen Beschwerden (Stress und früher Depressionen, vgl. SEM-Akte A20 F4–F7) sind in Albanien behandelbar. Er verfügt über einen Schulabschluss (SEM-Akte A20 F53) und hat mit seiner Mutter, mit der er abgesehen von einer sehr kurzen Zeit bis heute stets im selben Haushalt gelebt hat (SEM-Akte A20 F21), einen festen Wohnsitz und die nötige fi- nanzielle Unterstützung, bis er sich selbst versorgen kann. Der Vollzug der Wegweisung ist demnach auch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Einer Beschwerde im Asylverfahren kommt grundsätzlich von Gesetzes wegen aufschiebende Wirkung zu, weshalb – sofern das SEM ihr die auf- schiebende Wirkung nicht entzieht – Beschwerdeführende den Abschluss eines Verfahrens von Amtes wegen in der Schweiz abwarten dürfen (Art. 42 AsylG [SR 142.31]). Insofern wäre auf die Anträge, der Be- schwerde sei die aufschiebende Wirkung zu erteilen und die Vollzugsbe- hörden seien anzuweisen, für die Dauer des Beschwerdeverfahrens auf jegliche Vollzugshandlungen zu verzichten, nicht einzutreten. Die Anträge werden aber mit dem vorliegenden Beschwerdeurteil ohnehin gegen- standslos.</w:t>
      </w:r>
    </w:p>
    <w:p>
      <w:r>
        <w:t>D-5625/2024 Seite 12</w:t>
      </w:r>
    </w:p>
    <w:p>
      <w:r>
        <w:rPr>
          <w:b/>
        </w:rPr>
        <w:t>E. 14.1</w:t>
      </w:r>
    </w:p>
    <w:p>
      <w:r>
        <w:t>Mit dem vorliegenden Urteil sind die Gesuche um Befreiung von der Kostenvorschusspflicht gemäss Art. 63 Abs. 4 VwVG und um Gewährung der amtlichen Rechtsverbeiständung gemäss Art. 102m Abs. 1 AsylG ge- genstandslos geworden.</w:t>
      </w:r>
    </w:p>
    <w:p>
      <w:r>
        <w:rPr>
          <w:b/>
        </w:rPr>
        <w:t>E. 14.2</w:t>
      </w:r>
    </w:p>
    <w:p>
      <w:r>
        <w:t>Das Gesuch um Gewährung der unentgeltlichen Prozessführung im Sinne von Art. 65 Abs. 1 VwVG ist abzuweisen, da sich die Beschwerde als von Anfang an aussichtslos erwiesen hat.</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D-5625/2024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