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D-5623/2022 vom 12. Dezember 2022</w:t>
      </w:r>
    </w:p>
    <w:p>
      <w:r>
        <w:t>Bundesverwaltungsgericht, 2022-12-12, DE</w:t>
      </w:r>
    </w:p>
    <w:p>
      <w:r>
        <w:rPr>
          <w:b/>
        </w:rPr>
        <w:t xml:space="preserve">Quelle: </w:t>
      </w:r>
      <w:r>
        <w:t>https://mcp.opencaselaw.ch/entscheid/bvger_D-5623_2022</w:t>
      </w:r>
    </w:p>
    <w:p>
      <w:r>
        <w:t>FR: TAF D-5623/2022 du 12 décembre 2022</w:t>
      </w:r>
    </w:p>
    <w:p>
      <w:r>
        <w:t>IT: TAF D-5623/2022 del 12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Fingerabdruck-Datenbank ergab, dass dieser am 18. Oktober 2022 in Kroatien ein Asylgesuch eingereicht hat. Das SEM ersuchte deshalb die kroatischen Behörden am 16. November 2022 um Wiederaufnahme des Beschwerdeführers. Nachdem die kroatischen Behörden dem Gesuch um Rückübernahme gestützt auf Art. 20 Abs. 5 Dublin-III-VO innert der in Art. 25 Abs. 1 Dublin-III-VO festgelegten Frist zugestimmt und gleichzeitig darauf hingewiesen haben, der Beschwerdeführer sei am 20. Oktober 2022, noch vor der ersten Befragung, verschwunden, ist die Zuständigkeit Kroatiens somit grundsätzlich gegeben und wird auf Beschwerdeebene zu Recht auch nicht bestritten. Der Beschwerdeführer behauptet in der Beschwerdeschrift auch nicht mehr, in Kroatien gar kein Asylgesuch gestellt zu haben, sondern gibt lediglich an, man habe ihm die Fingerabdrücke gegen seinen Willen abgenommen.</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Die Vorinstanz hat im Sinne der Praxis des Bundesverwaltungsgerichts zutreffend dargelegt, dass aktuell, auch unter Würdigung von kritischen Berichten nationaler und internationaler Organisationen bezüglich dem kroatischen Asylverfahren,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das Urteil des BVGer D-5299/2022 vom 30. November 2022 E. 6.2, m.w.H.). Auch unter Berücksichtigung der vom Beschwerdeführer anlässlich des persönlichen Gesprächs vom 16. November 2022 geschilderten und in der Beschwerdeschrift teilweise wiederholten Erlebnisse ist nicht davon auszugehen, Kroatien verstosse systematisch gegen seine vertraglichen Verpflichtungen. Die vom Beschwerdeführer für die Zeit seines Aufenthaltes in Kroatien geltend gemachte schlechte Behandlung rechtfertigt es nicht, davon auszugehen, dass er bei einer Rückkehr mit hoher Wahrscheinlichkeit Opfer einer unmenschlichen oder erniedrigenden Behandlung im Sinne von Art. 3 EMRK, Art. 3 FoK oder Art. 4 EU-Grundrechtecharta wird. Bei Fehlverhalten einzelner Beamter oder von Privatpersonen könnte er sich zudem an die zuständigen kroatischen Stellen wenden. Es ist auch nicht davon auszugehen, dass er bei einer Wegweisung nach Kroatien in eine existenzielle Notlage geraten könnte. Die geltend gemachten Erlebnisse stehen - wie in der angefochtenen Verfügung (vgl. S. 4) zutreffend bemerkt wurde - zudem im Zusammenhang mit seiner illegalen Einreise nach Kroatien von Bosnien und Herzegowina aus. Diesbezüglich sieht sich Kroatien schon seit geraumer Zeit mit teils schweren Vorwürfen konfrontiert. Diese Vorwürfe beziehen sich jedoch primär auf das Verhalten des Landes an seiner Aussengrenze zu Bosnien und Herzegowina und zu Serbien. Damit ist aber nichts zur vorliegend interessierenden Situation der Rückkehr nach Kroatien nach Durchlaufen eines Dublin-Verfahrens gesagt (vgl. ebenfalls Urteil des BVGer D-5299/2022 vom 30. November 2022 E. 6.2). Bei einer Rücküberstellung nach Kroatien würde der Beschwerdeführer auf legalem Weg in die Hauptstadt Zagreb überstellt. Die Vorinstanz hat in Beachtung des Referenzurteils des Bundesverwaltungsgerichts E-3078/2019 vom 12. Juli 2019 eine Einzelfallprüfung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ebenfalls Urteil des BVGer D-5299/2022 vom 30. November 2022 E. 6.2 m.v.H.).</w:t>
      </w:r>
    </w:p>
    <w:p>
      <w:r>
        <w:rPr>
          <w:b/>
        </w:rPr>
        <w:t>E. 6.1.2</w:t>
      </w:r>
    </w:p>
    <w:p>
      <w:r>
        <w:t>Unter diesen Umständen ist die Anwendung von Art. 3 Abs. 2 Dublin-III-VO nicht gerechtfertigt.</w:t>
      </w:r>
    </w:p>
    <w:p>
      <w:r>
        <w:rPr>
          <w:b/>
        </w:rPr>
        <w:t>E. 6.2.1</w:t>
      </w:r>
    </w:p>
    <w:p>
      <w:r>
        <w:t>Soweit der Beschwerdeführer in seiner Rechtsmitteleingabe (vgl. S. 2) geltend macht, in Kroatien (...) und (...) bekommen zu haben und seither (...), ist festzuhalten,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6.2.2</w:t>
      </w:r>
    </w:p>
    <w:p>
      <w:r>
        <w:t>Eine solche Situation ist vorliegend offenkundig nicht gegeben. Der Beschwerdeführer erklärte im persönlichen Gespräch vom 16. November 2022 auf Nachfrage hin, er habe nach den in Kroatien erlittenen Schlägen Schmerzen gehabt, doch gehe es ihm nun besser, und auch ein Arzt habe bestätigt, dass alles gut sei. Psychische Probleme machte er indes keine geltend, und auf Beschwerdeebene werden die nunmehr vorgebrachten Beschwerden durch keine substanziierten Ausführungen oder gar ärztliche Berichte untermauert. Dessen ungeachtet wären diese gesundheitlichen Beeinträchtigungen auch nicht von einer Schwere, dass sie die Feststellung der Unzulässigkeit im Sinne der restriktiven Rechtsprechung zu rechtfertigen vermöchten. Zudem könnten sie in Kroatien behandelt werden, verfügt das Land doch über eine ausreichende medizinische Infrastruktur (vgl. Urteil des BVGer D-5299/2022 vom 30. November 2022 E. 7.2 m.v.H.). Sofern dies im Überstellungszeitpunkt erforderlich wäre, würden die schweizerischen Behörden, die mit dem Vollzug der angefochtenen Verfügung beauftragt sind, die kroatischen Behörden in geeigneter Weise über allfällige spezifische medizinische Bedürfnisse und Umstände des Beschwerdeführers informieren (Art. 31 f. Dublin-III-VO). Der aktuelle Gesundheitszustand des Beschwerdeführers führt somit für den Fall einer Überstellung nach Kroatien nicht zur Annahme einer drohenden Verletzung von Art. 3 EMRK.</w:t>
      </w:r>
    </w:p>
    <w:p>
      <w:r>
        <w:rPr>
          <w:b/>
        </w:rPr>
        <w:t>E. 6.2.3</w:t>
      </w:r>
    </w:p>
    <w:p>
      <w:r>
        <w:t>Nach dem Gesagten kann der Beschwerdeführer kein konkretes und ernsthaftes Risiko dartun, dass seine Überstellung nach Kroatien die Verletzung völkerrechtlicher Bestimmungen zur Folge hätte.</w:t>
      </w:r>
    </w:p>
    <w:p>
      <w:r>
        <w:rPr>
          <w:b/>
        </w:rPr>
        <w:t>E. 6.3</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6.4</w:t>
      </w:r>
    </w:p>
    <w:p>
      <w:r>
        <w:t>Es liegen weder völkerrechtliche Vollzugshindernisse vor, die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7</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8</w:t>
      </w:r>
    </w:p>
    <w:p>
      <w:r>
        <w:t>Das Fehlen von Überstellungshindernissen ist bereits Voraussetzung des Nichteintretensentscheids gemäss Art. 31a Abs. 1 Bst. b AsylG, weshalb allfällige Vollzugshindernisse gemäss Art. 83 Abs. 3 und 4 des Bundesgesetzes vom 16. Dezember 2005 über die Ausländerinnen und Ausländer und über die Integration (AIG; SR 142.20) unter diesen Umständen nicht mehr zu prüfen sind (vgl. BVGE 2015/18 E. 5.2 m.w.H.).</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10.1</w:t>
      </w:r>
    </w:p>
    <w:p>
      <w:r>
        <w:t>Der am 7. Dezember 2022 verfügte Vollzugsstopp fällt mit dem vorliegenden Urteil dahin.</w:t>
      </w:r>
    </w:p>
    <w:p>
      <w:r>
        <w:rPr>
          <w:b/>
        </w:rPr>
        <w:t>E. 10.2</w:t>
      </w:r>
    </w:p>
    <w:p>
      <w:r>
        <w:t>Mit dem Entscheid in der Hauptsache sind die Gesuche um Erteilung der aufschiebenden Wirkung und um Verzicht auf die Erhebung eines Kostenvorschusses gegenstandslos geworden.</w:t>
      </w:r>
    </w:p>
    <w:p>
      <w:r>
        <w:rPr>
          <w:b/>
        </w:rPr>
        <w:t>E. 11.1</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