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D-5614/2025 vom 27. Mai 2026</w:t>
      </w:r>
    </w:p>
    <w:p>
      <w:r>
        <w:t>Bundesverwaltungsgericht, 2026-05-27, DE</w:t>
      </w:r>
    </w:p>
    <w:p>
      <w:r>
        <w:rPr>
          <w:b/>
        </w:rPr>
        <w:t xml:space="preserve">Quelle: </w:t>
      </w:r>
      <w:r>
        <w:t>https://mcp.opencaselaw.ch/entscheid/bvger_D-5614_2025</w:t>
      </w:r>
    </w:p>
    <w:p>
      <w:r>
        <w:t>FR: TAF D-5614/2025 du 27 mai 2026</w:t>
      </w:r>
    </w:p>
    <w:p>
      <w:r>
        <w:t>IT: TAF D-5614/2025 del 27 maggio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entschieden (Art. 111 Bst. e AsylG). Wie nachstehend aufgezeigt, handelt es sich - aus heutiger Sicht betrachtet - um eine solche, weshalb das Urteil nur summarisch zu begründen ist (Art. 111a Abs. 2 AsylG).</w:t>
      </w:r>
    </w:p>
    <w:p>
      <w:r>
        <w:rPr>
          <w:b/>
        </w:rPr>
        <w:t>E. 4</w:t>
      </w:r>
    </w:p>
    <w:p>
      <w:r>
        <w:t>In der Beschwerde wird im Wesentlichen vorgebracht, der Beschwerdeführer befürchte aufgrund seiner Zugehörigkeit zur Glaubensgemeinschaft der Baha'i in seinem Heimatland asylrelevante Verfolgung. Er befürchte, dass der ehemaligen General B._______ seine Drohung, den Beschwerdeführer als Baha'i den Behörden anzuzeigen, in die Tat umsetzen könne. Sodann habe die Vorinstanz den Untersuchungsgrundsatz verletzt, indem sie den Sachverhalt unvollständig festgestellt habe. Die Vorbringen des Beschwerdeführers seien zudem glaubhaft.</w:t>
      </w:r>
    </w:p>
    <w:p>
      <w:r>
        <w:rPr>
          <w:b/>
        </w:rPr>
        <w:t>E. 5.1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zahlreichen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SRF News, Neue Asylpraxis der Schweiz, Vorerst keine Wegweisungen von abgewiesenen Iranern, 25. Januar 2026).</w:t>
      </w:r>
    </w:p>
    <w:p>
      <w:r>
        <w:rPr>
          <w:b/>
        </w:rPr>
        <w:t>E. 5.2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5.3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Beurteilung hängiger Asylverfahren iranischer Staatsangehöriger in der Schweiz (und in anderen Ländern) unklar.</w:t>
      </w:r>
    </w:p>
    <w:p>
      <w:r>
        <w:rPr>
          <w:b/>
        </w:rPr>
        <w:t>E. 6.1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Frage der Flüchtlingseigenschaft von asylsuchenden Personen aus dem Iran und des Vollzugs der Wegweisung vor dem Hintergrund der dannzumal herrschen-den politischen und sozioökonomischen Verhältnisse vorgenommen werden kann.</w:t>
      </w:r>
    </w:p>
    <w:p>
      <w:r>
        <w:rPr>
          <w:b/>
        </w:rPr>
        <w:t>E. 6.2</w:t>
      </w:r>
    </w:p>
    <w:p>
      <w:r>
        <w:t>Die Beschwerde ist vor diesem Hintergrund gutzuheissen, soweit die Aufhebung der angefochtenen Verfügung beantragt werden. Die Verfügung des SEM vom 23. April 2024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zulasten der Vorinstanz eine Entschädigung für die ihm notwendigerweise erwachsenen Parteikosten zuzusprechen. Die Rechtsvertreterin reichte eine Kostennote ein (vgl. Art. 14 Abs. 1 VGKE). Der darin ausgewiesene Aufwand von 16.4 Stunden erscheint überhöht und ist deshalb gestützt auf Art. 64 Abs. 1 VwVG auf 12 Stunden zu reduzieren. Der in Rechnung gestellte Stundenansatz von Fr. 180.- und die Auslagen in der Höhe von Fr. 54.- sind demgegenüber nicht zu beanstanden. Dem Beschwerdeführer ist demzufolge durch die Vorinstanz eine Parteientschädigung (inkl. Auslagen und Mehrwertsteuer; gerundet) von Fr. 2'005.-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